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57BE" w14:textId="2BBF9D1B" w:rsidR="0051026C" w:rsidRDefault="0051026C" w:rsidP="00993CFD">
      <w:pPr>
        <w:pStyle w:val="Default"/>
        <w:spacing w:after="24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70FADBF3" wp14:editId="439F2FFC">
            <wp:extent cx="1724025" cy="935153"/>
            <wp:effectExtent l="0" t="0" r="0" b="0"/>
            <wp:docPr id="1" name="Picture 1" descr="faculty 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U FS logo with Ar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636" cy="94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708D" w14:textId="2044FA9F" w:rsidR="00835B5F" w:rsidRPr="006E52E7" w:rsidRDefault="00835B5F" w:rsidP="00993CFD">
      <w:pPr>
        <w:pStyle w:val="Default"/>
        <w:spacing w:after="240"/>
        <w:jc w:val="center"/>
        <w:rPr>
          <w:rFonts w:asciiTheme="majorHAnsi" w:hAnsiTheme="majorHAnsi"/>
        </w:rPr>
      </w:pPr>
      <w:r w:rsidRPr="006E52E7">
        <w:rPr>
          <w:rFonts w:asciiTheme="majorHAnsi" w:hAnsiTheme="majorHAnsi"/>
          <w:b/>
          <w:bCs/>
        </w:rPr>
        <w:t xml:space="preserve">LSU A&amp;M FACULTY SENATE RESOLUTION </w:t>
      </w:r>
      <w:r w:rsidR="00CB4E23" w:rsidRPr="006E52E7">
        <w:rPr>
          <w:rFonts w:asciiTheme="majorHAnsi" w:hAnsiTheme="majorHAnsi"/>
          <w:b/>
          <w:bCs/>
        </w:rPr>
        <w:t>20</w:t>
      </w:r>
      <w:r w:rsidRPr="006E52E7">
        <w:rPr>
          <w:rFonts w:asciiTheme="majorHAnsi" w:hAnsiTheme="majorHAnsi"/>
          <w:b/>
          <w:bCs/>
        </w:rPr>
        <w:t>-</w:t>
      </w:r>
      <w:r w:rsidR="0066671D">
        <w:rPr>
          <w:rFonts w:asciiTheme="majorHAnsi" w:hAnsiTheme="majorHAnsi"/>
          <w:b/>
          <w:bCs/>
        </w:rPr>
        <w:t>04</w:t>
      </w:r>
    </w:p>
    <w:p w14:paraId="6ABFC295" w14:textId="5DA0367A" w:rsidR="00835B5F" w:rsidRPr="006E52E7" w:rsidRDefault="0066671D" w:rsidP="00993CFD">
      <w:pPr>
        <w:pStyle w:val="Default"/>
        <w:spacing w:after="240"/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b/>
          <w:bCs/>
          <w:sz w:val="48"/>
          <w:szCs w:val="48"/>
        </w:rPr>
        <w:t xml:space="preserve">Gender </w:t>
      </w:r>
      <w:r w:rsidR="00CB4E23" w:rsidRPr="006E52E7">
        <w:rPr>
          <w:rFonts w:asciiTheme="majorHAnsi" w:hAnsiTheme="majorHAnsi"/>
          <w:b/>
          <w:bCs/>
          <w:sz w:val="48"/>
          <w:szCs w:val="48"/>
        </w:rPr>
        <w:t xml:space="preserve">Equity in </w:t>
      </w:r>
      <w:r w:rsidR="005A5226" w:rsidRPr="006E52E7">
        <w:rPr>
          <w:rFonts w:asciiTheme="majorHAnsi" w:hAnsiTheme="majorHAnsi"/>
          <w:b/>
          <w:bCs/>
          <w:sz w:val="48"/>
          <w:szCs w:val="48"/>
        </w:rPr>
        <w:t>Health</w:t>
      </w:r>
      <w:r w:rsidR="00CB4E23" w:rsidRPr="006E52E7">
        <w:rPr>
          <w:rFonts w:asciiTheme="majorHAnsi" w:hAnsiTheme="majorHAnsi"/>
          <w:b/>
          <w:bCs/>
          <w:sz w:val="48"/>
          <w:szCs w:val="48"/>
        </w:rPr>
        <w:t xml:space="preserve"> Insurance Benefits</w:t>
      </w:r>
    </w:p>
    <w:p w14:paraId="4486022C" w14:textId="4EEA790D" w:rsidR="00FD3C62" w:rsidRPr="006E52E7" w:rsidRDefault="00835B5F" w:rsidP="00993CFD">
      <w:pPr>
        <w:spacing w:after="240" w:line="240" w:lineRule="auto"/>
        <w:jc w:val="center"/>
        <w:rPr>
          <w:rFonts w:asciiTheme="majorHAnsi" w:hAnsiTheme="majorHAnsi" w:cs="Times New Roman"/>
          <w:i/>
          <w:iCs/>
          <w:sz w:val="24"/>
          <w:szCs w:val="24"/>
        </w:rPr>
      </w:pPr>
      <w:r w:rsidRPr="006E52E7">
        <w:rPr>
          <w:rFonts w:asciiTheme="majorHAnsi" w:hAnsiTheme="majorHAnsi" w:cs="Times New Roman"/>
          <w:i/>
          <w:iCs/>
          <w:sz w:val="24"/>
          <w:szCs w:val="24"/>
        </w:rPr>
        <w:t>Sponsored by the Benefits Advisory</w:t>
      </w:r>
      <w:r w:rsidR="003135C8" w:rsidRPr="003135C8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="003135C8" w:rsidRPr="006E52E7">
        <w:rPr>
          <w:rFonts w:asciiTheme="majorHAnsi" w:hAnsiTheme="majorHAnsi" w:cs="Times New Roman"/>
          <w:i/>
          <w:iCs/>
          <w:sz w:val="24"/>
          <w:szCs w:val="24"/>
        </w:rPr>
        <w:t>Committee</w:t>
      </w:r>
      <w:r w:rsidRPr="006E52E7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="00CB4E23" w:rsidRPr="006E52E7">
        <w:rPr>
          <w:rFonts w:asciiTheme="majorHAnsi" w:hAnsiTheme="majorHAnsi" w:cs="Times New Roman"/>
          <w:i/>
          <w:iCs/>
          <w:sz w:val="24"/>
          <w:szCs w:val="24"/>
        </w:rPr>
        <w:t xml:space="preserve">and </w:t>
      </w:r>
      <w:r w:rsidR="003135C8">
        <w:rPr>
          <w:rFonts w:asciiTheme="majorHAnsi" w:hAnsiTheme="majorHAnsi" w:cs="Times New Roman"/>
          <w:i/>
          <w:iCs/>
          <w:sz w:val="24"/>
          <w:szCs w:val="24"/>
        </w:rPr>
        <w:t xml:space="preserve">the </w:t>
      </w:r>
      <w:r w:rsidR="0066671D">
        <w:rPr>
          <w:rFonts w:asciiTheme="majorHAnsi" w:hAnsiTheme="majorHAnsi" w:cs="Times New Roman"/>
          <w:i/>
          <w:iCs/>
          <w:sz w:val="24"/>
          <w:szCs w:val="24"/>
        </w:rPr>
        <w:t xml:space="preserve">Faculty Senate </w:t>
      </w:r>
      <w:r w:rsidR="00CB4E23" w:rsidRPr="006E52E7">
        <w:rPr>
          <w:rFonts w:asciiTheme="majorHAnsi" w:hAnsiTheme="majorHAnsi" w:cs="Times New Roman"/>
          <w:i/>
          <w:iCs/>
          <w:sz w:val="24"/>
          <w:szCs w:val="24"/>
        </w:rPr>
        <w:t>Executive</w:t>
      </w:r>
      <w:r w:rsidR="003135C8" w:rsidRPr="003135C8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="003135C8" w:rsidRPr="006E52E7">
        <w:rPr>
          <w:rFonts w:asciiTheme="majorHAnsi" w:hAnsiTheme="majorHAnsi" w:cs="Times New Roman"/>
          <w:i/>
          <w:iCs/>
          <w:sz w:val="24"/>
          <w:szCs w:val="24"/>
        </w:rPr>
        <w:t>Committee</w:t>
      </w:r>
      <w:r w:rsidR="00CB4E23" w:rsidRPr="006E52E7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</w:p>
    <w:p w14:paraId="102730D2" w14:textId="5502584D" w:rsidR="003135C8" w:rsidRPr="006E52E7" w:rsidRDefault="003135C8" w:rsidP="00993CFD">
      <w:pPr>
        <w:spacing w:after="240" w:line="240" w:lineRule="auto"/>
        <w:rPr>
          <w:rFonts w:asciiTheme="majorHAnsi" w:eastAsia="Arial" w:hAnsiTheme="majorHAnsi" w:cs="Times New Roman"/>
          <w:sz w:val="24"/>
          <w:szCs w:val="24"/>
        </w:rPr>
      </w:pPr>
      <w:r w:rsidRPr="006E52E7">
        <w:rPr>
          <w:rFonts w:asciiTheme="majorHAnsi" w:eastAsia="Arial" w:hAnsiTheme="majorHAnsi" w:cs="Times New Roman"/>
          <w:b/>
          <w:spacing w:val="3"/>
          <w:w w:val="96"/>
          <w:sz w:val="24"/>
          <w:szCs w:val="24"/>
        </w:rPr>
        <w:t>Whereas</w:t>
      </w:r>
      <w:r w:rsidRPr="006E52E7"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 employees covered by</w:t>
      </w:r>
      <w:r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 the various</w:t>
      </w:r>
      <w:r w:rsidRPr="006E52E7"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 </w:t>
      </w:r>
      <w:r>
        <w:rPr>
          <w:rFonts w:asciiTheme="majorHAnsi" w:eastAsia="Arial" w:hAnsiTheme="majorHAnsi" w:cs="Times New Roman"/>
          <w:sz w:val="24"/>
          <w:szCs w:val="24"/>
        </w:rPr>
        <w:t xml:space="preserve">Office of Group Benefits and LSU First </w:t>
      </w:r>
      <w:r w:rsidRPr="006E52E7">
        <w:rPr>
          <w:rFonts w:asciiTheme="majorHAnsi" w:eastAsia="Arial" w:hAnsiTheme="majorHAnsi" w:cs="Times New Roman"/>
          <w:sz w:val="24"/>
          <w:szCs w:val="24"/>
        </w:rPr>
        <w:t xml:space="preserve">health insurance plans </w:t>
      </w:r>
      <w:r w:rsidRPr="006E52E7"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pay </w:t>
      </w:r>
      <w:r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the same </w:t>
      </w:r>
      <w:r w:rsidRPr="006E52E7"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>premiums</w:t>
      </w:r>
      <w:r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 xml:space="preserve"> for the same plans</w:t>
      </w:r>
      <w:r w:rsidRPr="006E52E7">
        <w:rPr>
          <w:rFonts w:asciiTheme="majorHAnsi" w:eastAsia="Arial" w:hAnsiTheme="majorHAnsi" w:cs="Times New Roman"/>
          <w:spacing w:val="3"/>
          <w:w w:val="96"/>
          <w:sz w:val="24"/>
          <w:szCs w:val="24"/>
        </w:rPr>
        <w:t>;</w:t>
      </w:r>
    </w:p>
    <w:p w14:paraId="6DADE2F8" w14:textId="69C3B520" w:rsidR="00EB56B1" w:rsidRPr="006E52E7" w:rsidRDefault="003135C8" w:rsidP="00993CFD">
      <w:pPr>
        <w:spacing w:after="240" w:line="240" w:lineRule="auto"/>
        <w:rPr>
          <w:rFonts w:asciiTheme="majorHAnsi" w:eastAsia="Arial" w:hAnsiTheme="majorHAnsi" w:cs="Times New Roman"/>
          <w:sz w:val="24"/>
          <w:szCs w:val="24"/>
        </w:rPr>
      </w:pPr>
      <w:r w:rsidRPr="006E52E7">
        <w:rPr>
          <w:rFonts w:asciiTheme="majorHAnsi" w:eastAsia="Arial" w:hAnsiTheme="majorHAnsi" w:cs="Times New Roman"/>
          <w:b/>
          <w:sz w:val="24"/>
          <w:szCs w:val="24"/>
        </w:rPr>
        <w:t>Whereas</w:t>
      </w:r>
      <w:r w:rsidRPr="006E52E7">
        <w:rPr>
          <w:rFonts w:asciiTheme="majorHAnsi" w:eastAsia="Arial" w:hAnsiTheme="majorHAnsi" w:cs="Times New Roman"/>
          <w:sz w:val="24"/>
          <w:szCs w:val="24"/>
        </w:rPr>
        <w:t xml:space="preserve"> th</w:t>
      </w:r>
      <w:r>
        <w:rPr>
          <w:rFonts w:asciiTheme="majorHAnsi" w:eastAsia="Arial" w:hAnsiTheme="majorHAnsi" w:cs="Times New Roman"/>
          <w:sz w:val="24"/>
          <w:szCs w:val="24"/>
        </w:rPr>
        <w:t>os</w:t>
      </w:r>
      <w:r w:rsidRPr="006E52E7">
        <w:rPr>
          <w:rFonts w:asciiTheme="majorHAnsi" w:eastAsia="Arial" w:hAnsiTheme="majorHAnsi" w:cs="Times New Roman"/>
          <w:sz w:val="24"/>
          <w:szCs w:val="24"/>
        </w:rPr>
        <w:t xml:space="preserve">e </w:t>
      </w:r>
      <w:r>
        <w:rPr>
          <w:rFonts w:asciiTheme="majorHAnsi" w:eastAsia="Arial" w:hAnsiTheme="majorHAnsi" w:cs="Times New Roman"/>
          <w:sz w:val="24"/>
          <w:szCs w:val="24"/>
        </w:rPr>
        <w:t xml:space="preserve">plans </w:t>
      </w:r>
      <w:r w:rsidRPr="006E52E7">
        <w:rPr>
          <w:rFonts w:asciiTheme="majorHAnsi" w:eastAsia="Arial" w:hAnsiTheme="majorHAnsi" w:cs="Times New Roman"/>
          <w:sz w:val="24"/>
          <w:szCs w:val="24"/>
        </w:rPr>
        <w:t xml:space="preserve">designated “employee plus family” and “employee plus child(ren)” cover dependent children until age 26 but do not cover maternal care for those </w:t>
      </w:r>
      <w:r>
        <w:rPr>
          <w:rFonts w:asciiTheme="majorHAnsi" w:eastAsia="Arial" w:hAnsiTheme="majorHAnsi" w:cs="Times New Roman"/>
          <w:sz w:val="24"/>
          <w:szCs w:val="24"/>
        </w:rPr>
        <w:t xml:space="preserve">child </w:t>
      </w:r>
      <w:r w:rsidRPr="006E52E7">
        <w:rPr>
          <w:rFonts w:asciiTheme="majorHAnsi" w:eastAsia="Arial" w:hAnsiTheme="majorHAnsi" w:cs="Times New Roman"/>
          <w:sz w:val="24"/>
          <w:szCs w:val="24"/>
        </w:rPr>
        <w:t>dependents</w:t>
      </w:r>
      <w:r>
        <w:rPr>
          <w:rFonts w:asciiTheme="majorHAnsi" w:eastAsia="Arial" w:hAnsiTheme="majorHAnsi" w:cs="Times New Roman"/>
          <w:sz w:val="24"/>
          <w:szCs w:val="24"/>
        </w:rPr>
        <w:t xml:space="preserve">, </w:t>
      </w:r>
      <w:r w:rsidR="00993CFD">
        <w:rPr>
          <w:rFonts w:asciiTheme="majorHAnsi" w:eastAsia="Arial" w:hAnsiTheme="majorHAnsi" w:cs="Times New Roman"/>
          <w:sz w:val="24"/>
          <w:szCs w:val="24"/>
        </w:rPr>
        <w:t>with the effect that</w:t>
      </w:r>
      <w:r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employees </w:t>
      </w:r>
      <w:r w:rsidR="00AA46B4" w:rsidRPr="006E52E7">
        <w:rPr>
          <w:rFonts w:asciiTheme="majorHAnsi" w:eastAsia="Arial" w:hAnsiTheme="majorHAnsi" w:cs="Times New Roman"/>
          <w:sz w:val="24"/>
          <w:szCs w:val="24"/>
        </w:rPr>
        <w:t>who have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male children receive coverage </w:t>
      </w:r>
      <w:r w:rsidR="00E72889" w:rsidRPr="006E52E7">
        <w:rPr>
          <w:rFonts w:asciiTheme="majorHAnsi" w:eastAsia="Arial" w:hAnsiTheme="majorHAnsi" w:cs="Times New Roman"/>
          <w:sz w:val="24"/>
          <w:szCs w:val="24"/>
        </w:rPr>
        <w:t>for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3004F7" w:rsidRPr="006E52E7">
        <w:rPr>
          <w:rFonts w:asciiTheme="majorHAnsi" w:eastAsia="Arial" w:hAnsiTheme="majorHAnsi" w:cs="Times New Roman"/>
          <w:sz w:val="24"/>
          <w:szCs w:val="24"/>
        </w:rPr>
        <w:t>all</w:t>
      </w:r>
      <w:r w:rsidR="007D698C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E72889" w:rsidRPr="006E52E7">
        <w:rPr>
          <w:rFonts w:asciiTheme="majorHAnsi" w:eastAsia="Arial" w:hAnsiTheme="majorHAnsi" w:cs="Times New Roman"/>
          <w:sz w:val="24"/>
          <w:szCs w:val="24"/>
        </w:rPr>
        <w:t xml:space="preserve">their 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major medical </w:t>
      </w:r>
      <w:r w:rsidR="005A5226" w:rsidRPr="006E52E7">
        <w:rPr>
          <w:rFonts w:asciiTheme="majorHAnsi" w:eastAsia="Arial" w:hAnsiTheme="majorHAnsi" w:cs="Times New Roman"/>
          <w:sz w:val="24"/>
          <w:szCs w:val="24"/>
        </w:rPr>
        <w:t xml:space="preserve">care 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costs but those </w:t>
      </w:r>
      <w:r w:rsidR="00AA46B4" w:rsidRPr="006E52E7">
        <w:rPr>
          <w:rFonts w:asciiTheme="majorHAnsi" w:eastAsia="Arial" w:hAnsiTheme="majorHAnsi" w:cs="Times New Roman"/>
          <w:sz w:val="24"/>
          <w:szCs w:val="24"/>
        </w:rPr>
        <w:t>who have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female children </w:t>
      </w:r>
      <w:r w:rsidR="00993CFD">
        <w:rPr>
          <w:rFonts w:asciiTheme="majorHAnsi" w:eastAsia="Arial" w:hAnsiTheme="majorHAnsi" w:cs="Times New Roman"/>
          <w:sz w:val="24"/>
          <w:szCs w:val="24"/>
        </w:rPr>
        <w:t>might be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denied coverage for </w:t>
      </w:r>
      <w:r>
        <w:rPr>
          <w:rFonts w:asciiTheme="majorHAnsi" w:eastAsia="Arial" w:hAnsiTheme="majorHAnsi" w:cs="Times New Roman"/>
          <w:sz w:val="24"/>
          <w:szCs w:val="24"/>
        </w:rPr>
        <w:t>one of</w:t>
      </w:r>
      <w:r w:rsidR="007D698C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the </w:t>
      </w:r>
      <w:r w:rsidR="00515210" w:rsidRPr="006E52E7">
        <w:rPr>
          <w:rFonts w:asciiTheme="majorHAnsi" w:eastAsia="Arial" w:hAnsiTheme="majorHAnsi" w:cs="Times New Roman"/>
          <w:sz w:val="24"/>
          <w:szCs w:val="24"/>
        </w:rPr>
        <w:t>costliest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medical expense</w:t>
      </w:r>
      <w:r w:rsidR="002A41B5">
        <w:rPr>
          <w:rFonts w:asciiTheme="majorHAnsi" w:eastAsia="Arial" w:hAnsiTheme="majorHAnsi" w:cs="Times New Roman"/>
          <w:sz w:val="24"/>
          <w:szCs w:val="24"/>
        </w:rPr>
        <w:t>s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7D698C">
        <w:rPr>
          <w:rFonts w:asciiTheme="majorHAnsi" w:eastAsia="Arial" w:hAnsiTheme="majorHAnsi" w:cs="Times New Roman"/>
          <w:sz w:val="24"/>
          <w:szCs w:val="24"/>
        </w:rPr>
        <w:t xml:space="preserve">among </w:t>
      </w:r>
      <w:r w:rsidR="00152B47" w:rsidRPr="006E52E7">
        <w:rPr>
          <w:rFonts w:asciiTheme="majorHAnsi" w:eastAsia="Arial" w:hAnsiTheme="majorHAnsi" w:cs="Times New Roman"/>
          <w:sz w:val="24"/>
          <w:szCs w:val="24"/>
        </w:rPr>
        <w:t>young adult</w:t>
      </w:r>
      <w:r w:rsidR="00EB56B1" w:rsidRPr="006E52E7">
        <w:rPr>
          <w:rFonts w:asciiTheme="majorHAnsi" w:eastAsia="Arial" w:hAnsiTheme="majorHAnsi" w:cs="Times New Roman"/>
          <w:sz w:val="24"/>
          <w:szCs w:val="24"/>
        </w:rPr>
        <w:t>s;</w:t>
      </w:r>
    </w:p>
    <w:p w14:paraId="1D5420DB" w14:textId="2CC099E3" w:rsidR="00907B3B" w:rsidRPr="006E52E7" w:rsidRDefault="005B265A" w:rsidP="00993CFD">
      <w:pPr>
        <w:spacing w:after="240" w:line="240" w:lineRule="auto"/>
        <w:rPr>
          <w:rFonts w:asciiTheme="majorHAnsi" w:eastAsia="Palatino Linotype" w:hAnsiTheme="majorHAnsi" w:cs="Times New Roman"/>
          <w:spacing w:val="1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sz w:val="24"/>
          <w:szCs w:val="24"/>
        </w:rPr>
        <w:t>Whe</w:t>
      </w:r>
      <w:r w:rsidRPr="006E52E7">
        <w:rPr>
          <w:rFonts w:asciiTheme="majorHAnsi" w:eastAsia="Palatino Linotype" w:hAnsiTheme="majorHAnsi" w:cs="Times New Roman"/>
          <w:b/>
          <w:spacing w:val="-1"/>
          <w:sz w:val="24"/>
          <w:szCs w:val="24"/>
        </w:rPr>
        <w:t>r</w:t>
      </w:r>
      <w:r w:rsidRPr="006E52E7">
        <w:rPr>
          <w:rFonts w:asciiTheme="majorHAnsi" w:eastAsia="Palatino Linotype" w:hAnsiTheme="majorHAnsi" w:cs="Times New Roman"/>
          <w:b/>
          <w:sz w:val="24"/>
          <w:szCs w:val="24"/>
        </w:rPr>
        <w:t>e</w:t>
      </w:r>
      <w:r w:rsidRPr="006E52E7">
        <w:rPr>
          <w:rFonts w:asciiTheme="majorHAnsi" w:eastAsia="Palatino Linotype" w:hAnsiTheme="majorHAnsi" w:cs="Times New Roman"/>
          <w:b/>
          <w:spacing w:val="-1"/>
          <w:sz w:val="24"/>
          <w:szCs w:val="24"/>
        </w:rPr>
        <w:t>a</w:t>
      </w:r>
      <w:r w:rsidRPr="006E52E7">
        <w:rPr>
          <w:rFonts w:asciiTheme="majorHAnsi" w:eastAsia="Palatino Linotype" w:hAnsiTheme="majorHAnsi" w:cs="Times New Roman"/>
          <w:b/>
          <w:sz w:val="24"/>
          <w:szCs w:val="24"/>
        </w:rPr>
        <w:t>s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CB4E23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the employee premiums for </w:t>
      </w:r>
      <w:r w:rsidR="00E72889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LSU </w:t>
      </w:r>
      <w:r w:rsidR="00515210">
        <w:rPr>
          <w:rFonts w:asciiTheme="majorHAnsi" w:eastAsia="Palatino Linotype" w:hAnsiTheme="majorHAnsi" w:cs="Times New Roman"/>
          <w:spacing w:val="1"/>
          <w:sz w:val="24"/>
          <w:szCs w:val="24"/>
        </w:rPr>
        <w:t>health</w:t>
      </w:r>
      <w:r w:rsidR="00E72889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insurance plans </w:t>
      </w:r>
      <w:r w:rsidR="00CB4E23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ha</w:t>
      </w:r>
      <w:r w:rsidR="00EB56B1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ve</w:t>
      </w:r>
      <w:r w:rsidR="00CB4E23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increased dramatically since </w:t>
      </w:r>
      <w:r w:rsidR="00A45C8E">
        <w:rPr>
          <w:rFonts w:asciiTheme="majorHAnsi" w:eastAsia="Palatino Linotype" w:hAnsiTheme="majorHAnsi" w:cs="Times New Roman"/>
          <w:spacing w:val="1"/>
          <w:sz w:val="24"/>
          <w:szCs w:val="24"/>
        </w:rPr>
        <w:t>2008</w:t>
      </w:r>
      <w:r w:rsidR="00CB4E23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, for example, from $5,216 in 2008-09 to $8,041 in 2019-20 for the </w:t>
      </w:r>
      <w:r w:rsidR="00FA63A8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LSU</w:t>
      </w:r>
      <w:r w:rsidR="00E72889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FA63A8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First </w:t>
      </w:r>
      <w:r w:rsidR="00E72889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Option 1 plan for an employee plus </w:t>
      </w:r>
      <w:r w:rsidR="00CB4E23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family</w:t>
      </w:r>
      <w:r w:rsidR="00FA63A8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, an increase of 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54 percent (</w:t>
      </w:r>
      <w:r w:rsidR="00FA63A8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$2,825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)</w:t>
      </w:r>
      <w:r w:rsidR="00FA63A8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in eleven years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compared to </w:t>
      </w:r>
      <w:r w:rsidR="00CE4DBD">
        <w:rPr>
          <w:rFonts w:asciiTheme="majorHAnsi" w:eastAsia="Palatino Linotype" w:hAnsiTheme="majorHAnsi" w:cs="Times New Roman"/>
          <w:spacing w:val="1"/>
          <w:sz w:val="24"/>
          <w:szCs w:val="24"/>
        </w:rPr>
        <w:t>a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general </w:t>
      </w:r>
      <w:r w:rsidR="00CE4DBD">
        <w:rPr>
          <w:rFonts w:asciiTheme="majorHAnsi" w:eastAsia="Palatino Linotype" w:hAnsiTheme="majorHAnsi" w:cs="Times New Roman"/>
          <w:spacing w:val="1"/>
          <w:sz w:val="24"/>
          <w:szCs w:val="24"/>
        </w:rPr>
        <w:t>rate of inflation</w:t>
      </w:r>
      <w:r w:rsidR="00617EE2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of </w:t>
      </w:r>
      <w:r w:rsidR="00A45C8E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only </w:t>
      </w:r>
      <w:r w:rsidR="00617EE2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1</w:t>
      </w:r>
      <w:r w:rsidR="00A45C8E">
        <w:rPr>
          <w:rFonts w:asciiTheme="majorHAnsi" w:eastAsia="Palatino Linotype" w:hAnsiTheme="majorHAnsi" w:cs="Times New Roman"/>
          <w:spacing w:val="1"/>
          <w:sz w:val="24"/>
          <w:szCs w:val="24"/>
        </w:rPr>
        <w:t>7.4</w:t>
      </w:r>
      <w:r w:rsidR="00617EE2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percent</w:t>
      </w:r>
      <w:r w:rsidR="00CE4DBD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over that </w:t>
      </w:r>
      <w:r w:rsidR="00617EE2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same </w:t>
      </w:r>
      <w:r w:rsidR="00600C50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period</w:t>
      </w:r>
      <w:r w:rsidR="00907B3B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;</w:t>
      </w:r>
      <w:r w:rsidR="006E52E7" w:rsidRPr="006E52E7">
        <w:rPr>
          <w:rStyle w:val="FootnoteReference"/>
          <w:rFonts w:asciiTheme="majorHAnsi" w:eastAsia="Palatino Linotype" w:hAnsiTheme="majorHAnsi" w:cs="Times New Roman"/>
          <w:spacing w:val="1"/>
          <w:sz w:val="24"/>
          <w:szCs w:val="24"/>
        </w:rPr>
        <w:footnoteReference w:id="1"/>
      </w:r>
    </w:p>
    <w:p w14:paraId="0A19394B" w14:textId="53C9DA6B" w:rsidR="008B4D94" w:rsidRPr="00B1799C" w:rsidRDefault="00EB56B1" w:rsidP="00993CFD">
      <w:pPr>
        <w:spacing w:after="240" w:line="240" w:lineRule="auto"/>
        <w:rPr>
          <w:rFonts w:asciiTheme="majorHAnsi" w:eastAsia="Palatino Linotype" w:hAnsiTheme="majorHAnsi" w:cs="Times New Roman"/>
          <w:spacing w:val="1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bCs/>
          <w:spacing w:val="1"/>
          <w:sz w:val="24"/>
          <w:szCs w:val="24"/>
        </w:rPr>
        <w:t>Whereas</w:t>
      </w:r>
      <w:r w:rsidR="00515210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similar </w:t>
      </w:r>
      <w:r w:rsidR="00515210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health insurance 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plans at other large Louisiana employers</w:t>
      </w:r>
      <w:r w:rsidR="00B56C3E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cost their employees</w:t>
      </w:r>
      <w:r w:rsidR="00D94CE5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5A5226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substantially less than LSU employees, for example, </w:t>
      </w:r>
      <w:r w:rsidR="000273EF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37 percent</w:t>
      </w:r>
      <w:r w:rsidR="00A45C8E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less</w:t>
      </w:r>
      <w:r w:rsidR="00B56C3E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2640DB">
        <w:rPr>
          <w:rFonts w:asciiTheme="majorHAnsi" w:eastAsia="Palatino Linotype" w:hAnsiTheme="majorHAnsi" w:cs="Times New Roman"/>
          <w:spacing w:val="1"/>
          <w:sz w:val="24"/>
          <w:szCs w:val="24"/>
        </w:rPr>
        <w:t>(</w:t>
      </w:r>
      <w:r w:rsidR="00A45C8E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$2,992</w:t>
      </w:r>
      <w:r w:rsidR="002640DB">
        <w:rPr>
          <w:rFonts w:asciiTheme="majorHAnsi" w:eastAsia="Palatino Linotype" w:hAnsiTheme="majorHAnsi" w:cs="Times New Roman"/>
          <w:spacing w:val="1"/>
          <w:sz w:val="24"/>
          <w:szCs w:val="24"/>
        </w:rPr>
        <w:t>)</w:t>
      </w:r>
      <w:r w:rsidR="00B56C3E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="00515210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on average </w:t>
      </w:r>
      <w:r w:rsidR="00152B47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in 2019</w:t>
      </w:r>
      <w:r w:rsidR="002640DB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for an employee plus family</w:t>
      </w:r>
      <w:r w:rsidR="0037409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plan</w:t>
      </w:r>
      <w:r w:rsidR="00B56C3E"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;</w:t>
      </w:r>
      <w:r w:rsidR="00B56C3E" w:rsidRPr="006E52E7">
        <w:rPr>
          <w:rStyle w:val="FootnoteReference"/>
          <w:rFonts w:asciiTheme="majorHAnsi" w:eastAsia="Palatino Linotype" w:hAnsiTheme="majorHAnsi" w:cs="Times New Roman"/>
          <w:spacing w:val="1"/>
          <w:sz w:val="24"/>
          <w:szCs w:val="24"/>
        </w:rPr>
        <w:footnoteReference w:id="2"/>
      </w:r>
    </w:p>
    <w:p w14:paraId="1B1E18AB" w14:textId="37282276" w:rsidR="00907B3B" w:rsidRPr="006E52E7" w:rsidRDefault="00907B3B" w:rsidP="00993CFD">
      <w:pPr>
        <w:spacing w:after="240" w:line="240" w:lineRule="auto"/>
        <w:rPr>
          <w:rFonts w:asciiTheme="majorHAnsi" w:eastAsia="Palatino Linotype" w:hAnsiTheme="majorHAnsi" w:cs="Times New Roman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sz w:val="24"/>
          <w:szCs w:val="24"/>
        </w:rPr>
        <w:t>Whereas</w:t>
      </w:r>
      <w:r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AE7470">
        <w:rPr>
          <w:rFonts w:asciiTheme="majorHAnsi" w:eastAsia="Palatino Linotype" w:hAnsiTheme="majorHAnsi" w:cs="Times New Roman"/>
          <w:sz w:val="24"/>
          <w:szCs w:val="24"/>
        </w:rPr>
        <w:t>Inflation</w:t>
      </w:r>
      <w:r w:rsidR="00B56C3E" w:rsidRPr="006E52E7">
        <w:rPr>
          <w:rFonts w:asciiTheme="majorHAnsi" w:eastAsia="Palatino Linotype" w:hAnsiTheme="majorHAnsi" w:cs="Times New Roman"/>
          <w:sz w:val="24"/>
          <w:szCs w:val="24"/>
        </w:rPr>
        <w:t>-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adjusted </w:t>
      </w:r>
      <w:r w:rsidR="00FA63A8" w:rsidRPr="006E52E7">
        <w:rPr>
          <w:rFonts w:asciiTheme="majorHAnsi" w:eastAsia="Palatino Linotype" w:hAnsiTheme="majorHAnsi" w:cs="Times New Roman"/>
          <w:sz w:val="24"/>
          <w:szCs w:val="24"/>
        </w:rPr>
        <w:t xml:space="preserve">faculty salaries 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 xml:space="preserve">at LSU </w:t>
      </w:r>
      <w:r w:rsidR="00FA63A8" w:rsidRPr="006E52E7">
        <w:rPr>
          <w:rFonts w:asciiTheme="majorHAnsi" w:eastAsia="Palatino Linotype" w:hAnsiTheme="majorHAnsi" w:cs="Times New Roman"/>
          <w:sz w:val="24"/>
          <w:szCs w:val="24"/>
        </w:rPr>
        <w:t>have declined by 4.</w:t>
      </w:r>
      <w:r w:rsidR="00B32B31">
        <w:rPr>
          <w:rFonts w:asciiTheme="majorHAnsi" w:eastAsia="Palatino Linotype" w:hAnsiTheme="majorHAnsi" w:cs="Times New Roman"/>
          <w:sz w:val="24"/>
          <w:szCs w:val="24"/>
        </w:rPr>
        <w:t>4</w:t>
      </w:r>
      <w:r w:rsidR="00FA63A8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percent 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 xml:space="preserve">over the </w:t>
      </w:r>
      <w:r w:rsidR="00374097">
        <w:rPr>
          <w:rFonts w:asciiTheme="majorHAnsi" w:eastAsia="Palatino Linotype" w:hAnsiTheme="majorHAnsi" w:cs="Times New Roman"/>
          <w:sz w:val="24"/>
          <w:szCs w:val="24"/>
        </w:rPr>
        <w:t xml:space="preserve">past 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 xml:space="preserve">eleven </w:t>
      </w:r>
      <w:r w:rsidR="003004F7">
        <w:rPr>
          <w:rFonts w:asciiTheme="majorHAnsi" w:eastAsia="Palatino Linotype" w:hAnsiTheme="majorHAnsi" w:cs="Times New Roman"/>
          <w:sz w:val="24"/>
          <w:szCs w:val="24"/>
        </w:rPr>
        <w:t xml:space="preserve">academic 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>years</w:t>
      </w:r>
      <w:r w:rsidR="00374097">
        <w:rPr>
          <w:rFonts w:asciiTheme="majorHAnsi" w:eastAsia="Palatino Linotype" w:hAnsiTheme="majorHAnsi" w:cs="Times New Roman"/>
          <w:sz w:val="24"/>
          <w:szCs w:val="24"/>
        </w:rPr>
        <w:t>,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from 2008-09 through 2019-20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, </w:t>
      </w:r>
      <w:r w:rsidR="00D025B1" w:rsidRPr="006E52E7">
        <w:rPr>
          <w:rFonts w:asciiTheme="majorHAnsi" w:eastAsia="Palatino Linotype" w:hAnsiTheme="majorHAnsi" w:cs="Times New Roman"/>
          <w:sz w:val="24"/>
          <w:szCs w:val="24"/>
        </w:rPr>
        <w:t>despite the faculty’s</w:t>
      </w:r>
      <w:r w:rsidR="00B63802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>continu</w:t>
      </w:r>
      <w:r w:rsidR="001C418A">
        <w:rPr>
          <w:rFonts w:asciiTheme="majorHAnsi" w:eastAsia="Palatino Linotype" w:hAnsiTheme="majorHAnsi" w:cs="Times New Roman"/>
          <w:sz w:val="24"/>
          <w:szCs w:val="24"/>
        </w:rPr>
        <w:t>ing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B63802" w:rsidRPr="006E52E7">
        <w:rPr>
          <w:rFonts w:asciiTheme="majorHAnsi" w:eastAsia="Palatino Linotype" w:hAnsiTheme="majorHAnsi" w:cs="Times New Roman"/>
          <w:sz w:val="24"/>
          <w:szCs w:val="24"/>
        </w:rPr>
        <w:t xml:space="preserve">accomplishments in research, contributions in service and teaching, </w:t>
      </w:r>
      <w:r w:rsidR="002E7A6F" w:rsidRPr="006E52E7">
        <w:rPr>
          <w:rFonts w:asciiTheme="majorHAnsi" w:eastAsia="Palatino Linotype" w:hAnsiTheme="majorHAnsi" w:cs="Times New Roman"/>
          <w:sz w:val="24"/>
          <w:szCs w:val="24"/>
        </w:rPr>
        <w:t xml:space="preserve">gains in 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experience, </w:t>
      </w:r>
      <w:r w:rsidR="00374097">
        <w:rPr>
          <w:rFonts w:asciiTheme="majorHAnsi" w:eastAsia="Palatino Linotype" w:hAnsiTheme="majorHAnsi" w:cs="Times New Roman"/>
          <w:sz w:val="24"/>
          <w:szCs w:val="24"/>
        </w:rPr>
        <w:t>or</w:t>
      </w:r>
      <w:r w:rsidR="00B63802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any other measure of productivity</w:t>
      </w:r>
      <w:r w:rsidRPr="006E52E7">
        <w:rPr>
          <w:rFonts w:asciiTheme="majorHAnsi" w:eastAsia="Palatino Linotype" w:hAnsiTheme="majorHAnsi" w:cs="Times New Roman"/>
          <w:sz w:val="24"/>
          <w:szCs w:val="24"/>
        </w:rPr>
        <w:t>;</w:t>
      </w:r>
      <w:r w:rsidR="00AE7470">
        <w:rPr>
          <w:rStyle w:val="FootnoteReference"/>
          <w:rFonts w:asciiTheme="majorHAnsi" w:eastAsia="Palatino Linotype" w:hAnsiTheme="majorHAnsi" w:cs="Times New Roman"/>
          <w:sz w:val="24"/>
          <w:szCs w:val="24"/>
        </w:rPr>
        <w:footnoteReference w:id="3"/>
      </w:r>
    </w:p>
    <w:p w14:paraId="7ADB2397" w14:textId="16676C48" w:rsidR="00B1799C" w:rsidRPr="008B4D94" w:rsidRDefault="00B1799C" w:rsidP="00993CFD">
      <w:pPr>
        <w:spacing w:after="240" w:line="240" w:lineRule="auto"/>
        <w:rPr>
          <w:rFonts w:asciiTheme="majorHAnsi" w:eastAsia="Palatino Linotype" w:hAnsiTheme="majorHAnsi" w:cs="Times New Roman"/>
          <w:spacing w:val="1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bCs/>
          <w:spacing w:val="1"/>
          <w:sz w:val="24"/>
          <w:szCs w:val="24"/>
        </w:rPr>
        <w:lastRenderedPageBreak/>
        <w:t>Whereas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HRM continues</w:t>
      </w:r>
      <w:r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, despite a </w:t>
      </w:r>
      <w:r w:rsidR="00B32B31">
        <w:rPr>
          <w:rFonts w:asciiTheme="majorHAnsi" w:eastAsia="Palatino Linotype" w:hAnsiTheme="majorHAnsi" w:cs="Times New Roman"/>
          <w:spacing w:val="1"/>
          <w:sz w:val="24"/>
          <w:szCs w:val="24"/>
        </w:rPr>
        <w:t>long-standing</w:t>
      </w:r>
      <w:r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request by the Faculty Senate to cease and desist,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to advertise </w:t>
      </w:r>
      <w:r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falsely that 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LSU offer</w:t>
      </w:r>
      <w:r>
        <w:rPr>
          <w:rFonts w:asciiTheme="majorHAnsi" w:eastAsia="Palatino Linotype" w:hAnsiTheme="majorHAnsi" w:cs="Times New Roman"/>
          <w:spacing w:val="1"/>
          <w:sz w:val="24"/>
          <w:szCs w:val="24"/>
        </w:rPr>
        <w:t>s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“outstanding benefits to eligible employees and their dependents including health, life, dental, and vision insurance…</w:t>
      </w:r>
      <w:r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and more!</w:t>
      </w:r>
      <w:r w:rsidR="00B32B31">
        <w:rPr>
          <w:rFonts w:asciiTheme="majorHAnsi" w:eastAsia="Palatino Linotype" w:hAnsiTheme="majorHAnsi" w:cs="Times New Roman"/>
          <w:spacing w:val="1"/>
          <w:sz w:val="24"/>
          <w:szCs w:val="24"/>
        </w:rPr>
        <w:t xml:space="preserve"> [sic]</w:t>
      </w:r>
      <w:r w:rsidRPr="006E52E7">
        <w:rPr>
          <w:rFonts w:asciiTheme="majorHAnsi" w:eastAsia="Palatino Linotype" w:hAnsiTheme="majorHAnsi" w:cs="Times New Roman"/>
          <w:spacing w:val="1"/>
          <w:sz w:val="24"/>
          <w:szCs w:val="24"/>
        </w:rPr>
        <w:t>”;</w:t>
      </w:r>
      <w:r w:rsidRPr="006E52E7">
        <w:rPr>
          <w:rStyle w:val="FootnoteReference"/>
          <w:rFonts w:asciiTheme="majorHAnsi" w:eastAsia="Palatino Linotype" w:hAnsiTheme="majorHAnsi" w:cs="Times New Roman"/>
          <w:spacing w:val="1"/>
          <w:sz w:val="24"/>
          <w:szCs w:val="24"/>
        </w:rPr>
        <w:footnoteReference w:id="4"/>
      </w:r>
    </w:p>
    <w:p w14:paraId="756DC16A" w14:textId="0B0183CB" w:rsidR="00037271" w:rsidRPr="006E52E7" w:rsidRDefault="00907B3B" w:rsidP="00993CFD">
      <w:pPr>
        <w:spacing w:after="240" w:line="240" w:lineRule="auto"/>
        <w:rPr>
          <w:rFonts w:asciiTheme="majorHAnsi" w:eastAsia="Palatino Linotype" w:hAnsiTheme="majorHAnsi" w:cs="Times New Roman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sz w:val="24"/>
          <w:szCs w:val="24"/>
        </w:rPr>
        <w:t>Whereas</w:t>
      </w:r>
      <w:r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D025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a </w:t>
      </w:r>
      <w:r w:rsidR="00926DE6">
        <w:rPr>
          <w:rFonts w:asciiTheme="majorHAnsi" w:eastAsia="Palatino Linotype" w:hAnsiTheme="majorHAnsi" w:cs="Times New Roman"/>
          <w:sz w:val="24"/>
          <w:szCs w:val="24"/>
        </w:rPr>
        <w:t>state’s</w:t>
      </w:r>
      <w:r w:rsidR="00EB56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D025B1" w:rsidRPr="006E52E7">
        <w:rPr>
          <w:rFonts w:asciiTheme="majorHAnsi" w:eastAsia="Palatino Linotype" w:hAnsiTheme="majorHAnsi" w:cs="Times New Roman"/>
          <w:sz w:val="24"/>
          <w:szCs w:val="24"/>
        </w:rPr>
        <w:t xml:space="preserve">flagship university should </w:t>
      </w:r>
      <w:r w:rsidR="00B32B31">
        <w:rPr>
          <w:rFonts w:asciiTheme="majorHAnsi" w:eastAsia="Palatino Linotype" w:hAnsiTheme="majorHAnsi" w:cs="Times New Roman"/>
          <w:sz w:val="24"/>
          <w:szCs w:val="24"/>
        </w:rPr>
        <w:t xml:space="preserve">strive to </w:t>
      </w:r>
      <w:r w:rsidR="00D025B1" w:rsidRPr="006E52E7">
        <w:rPr>
          <w:rFonts w:asciiTheme="majorHAnsi" w:eastAsia="Palatino Linotype" w:hAnsiTheme="majorHAnsi" w:cs="Times New Roman"/>
          <w:sz w:val="24"/>
          <w:szCs w:val="24"/>
        </w:rPr>
        <w:t>be at the forefront of social progress in its state</w:t>
      </w:r>
      <w:r w:rsidR="009242B9">
        <w:rPr>
          <w:rFonts w:asciiTheme="majorHAnsi" w:eastAsia="Palatino Linotype" w:hAnsiTheme="majorHAnsi" w:cs="Times New Roman"/>
          <w:sz w:val="24"/>
          <w:szCs w:val="24"/>
        </w:rPr>
        <w:t xml:space="preserve"> by </w:t>
      </w:r>
      <w:r w:rsidR="002A41B5">
        <w:rPr>
          <w:rFonts w:asciiTheme="majorHAnsi" w:eastAsia="Palatino Linotype" w:hAnsiTheme="majorHAnsi" w:cs="Times New Roman"/>
          <w:sz w:val="24"/>
          <w:szCs w:val="24"/>
        </w:rPr>
        <w:t xml:space="preserve">offering its </w:t>
      </w:r>
      <w:r w:rsidR="009242B9">
        <w:rPr>
          <w:rFonts w:asciiTheme="majorHAnsi" w:eastAsia="Palatino Linotype" w:hAnsiTheme="majorHAnsi" w:cs="Times New Roman"/>
          <w:sz w:val="24"/>
          <w:szCs w:val="24"/>
        </w:rPr>
        <w:t xml:space="preserve">employees </w:t>
      </w:r>
      <w:r w:rsidR="002A41B5">
        <w:rPr>
          <w:rFonts w:asciiTheme="majorHAnsi" w:eastAsia="Palatino Linotype" w:hAnsiTheme="majorHAnsi" w:cs="Times New Roman"/>
          <w:sz w:val="24"/>
          <w:szCs w:val="24"/>
        </w:rPr>
        <w:t>benefits that are equitable and affordable relative to salaries</w:t>
      </w:r>
      <w:r w:rsidR="00D025B1" w:rsidRPr="006E52E7">
        <w:rPr>
          <w:rFonts w:asciiTheme="majorHAnsi" w:eastAsia="Palatino Linotype" w:hAnsiTheme="majorHAnsi" w:cs="Times New Roman"/>
          <w:sz w:val="24"/>
          <w:szCs w:val="24"/>
        </w:rPr>
        <w:t>;</w:t>
      </w:r>
    </w:p>
    <w:p w14:paraId="2328FC22" w14:textId="07C9B472" w:rsidR="003607C1" w:rsidRPr="006E52E7" w:rsidRDefault="009F050B" w:rsidP="00993CFD">
      <w:pPr>
        <w:spacing w:after="240" w:line="240" w:lineRule="auto"/>
        <w:rPr>
          <w:rFonts w:asciiTheme="majorHAnsi" w:eastAsia="Arial" w:hAnsiTheme="majorHAnsi" w:cs="Times New Roman"/>
          <w:w w:val="101"/>
          <w:sz w:val="24"/>
          <w:szCs w:val="24"/>
        </w:rPr>
      </w:pPr>
      <w:r w:rsidRPr="006E52E7">
        <w:rPr>
          <w:rFonts w:asciiTheme="majorHAnsi" w:eastAsia="Palatino Linotype" w:hAnsiTheme="majorHAnsi" w:cs="Times New Roman"/>
          <w:b/>
          <w:bCs/>
          <w:sz w:val="24"/>
          <w:szCs w:val="24"/>
        </w:rPr>
        <w:t xml:space="preserve">Now </w:t>
      </w:r>
      <w:r w:rsidR="00C418FA" w:rsidRPr="006E52E7">
        <w:rPr>
          <w:rFonts w:asciiTheme="majorHAnsi" w:eastAsia="Palatino Linotype" w:hAnsiTheme="majorHAnsi" w:cs="Times New Roman"/>
          <w:b/>
          <w:bCs/>
          <w:sz w:val="24"/>
          <w:szCs w:val="24"/>
        </w:rPr>
        <w:t>therefore</w:t>
      </w:r>
      <w:r w:rsidR="00C418FA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be it resolved that </w:t>
      </w:r>
      <w:r w:rsidR="00D075FA" w:rsidRPr="006E52E7">
        <w:rPr>
          <w:rFonts w:asciiTheme="majorHAnsi" w:eastAsia="Palatino Linotype" w:hAnsiTheme="majorHAnsi" w:cs="Times New Roman"/>
          <w:sz w:val="24"/>
          <w:szCs w:val="24"/>
        </w:rPr>
        <w:t xml:space="preserve">the </w:t>
      </w:r>
      <w:r w:rsidR="00AA46B4" w:rsidRPr="006E52E7">
        <w:rPr>
          <w:rFonts w:asciiTheme="majorHAnsi" w:eastAsia="Palatino Linotype" w:hAnsiTheme="majorHAnsi" w:cs="Times New Roman"/>
          <w:sz w:val="24"/>
          <w:szCs w:val="24"/>
        </w:rPr>
        <w:t xml:space="preserve">LSU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Faculty Senate </w:t>
      </w:r>
      <w:r w:rsidR="000A302F">
        <w:rPr>
          <w:rFonts w:asciiTheme="majorHAnsi" w:eastAsia="Palatino Linotype" w:hAnsiTheme="majorHAnsi" w:cs="Times New Roman"/>
          <w:sz w:val="24"/>
          <w:szCs w:val="24"/>
        </w:rPr>
        <w:t>requests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AA46B4" w:rsidRPr="006E52E7">
        <w:rPr>
          <w:rFonts w:asciiTheme="majorHAnsi" w:eastAsia="Palatino Linotype" w:hAnsiTheme="majorHAnsi" w:cs="Times New Roman"/>
          <w:sz w:val="24"/>
          <w:szCs w:val="24"/>
        </w:rPr>
        <w:t xml:space="preserve">LSU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management to </w:t>
      </w:r>
      <w:r w:rsidR="00091F4F">
        <w:rPr>
          <w:rFonts w:asciiTheme="majorHAnsi" w:eastAsia="Palatino Linotype" w:hAnsiTheme="majorHAnsi" w:cs="Times New Roman"/>
          <w:sz w:val="24"/>
          <w:szCs w:val="24"/>
        </w:rPr>
        <w:t xml:space="preserve">investigate and report back </w:t>
      </w:r>
      <w:r w:rsidR="00067293">
        <w:rPr>
          <w:rFonts w:asciiTheme="majorHAnsi" w:eastAsia="Palatino Linotype" w:hAnsiTheme="majorHAnsi" w:cs="Times New Roman"/>
          <w:sz w:val="24"/>
          <w:szCs w:val="24"/>
        </w:rPr>
        <w:t xml:space="preserve">to the Faculty Senate </w:t>
      </w:r>
      <w:r w:rsidR="000E4BD7">
        <w:rPr>
          <w:rFonts w:asciiTheme="majorHAnsi" w:eastAsia="Palatino Linotype" w:hAnsiTheme="majorHAnsi" w:cs="Times New Roman"/>
          <w:sz w:val="24"/>
          <w:szCs w:val="24"/>
        </w:rPr>
        <w:t xml:space="preserve">about </w:t>
      </w:r>
      <w:r w:rsidR="003004F7">
        <w:rPr>
          <w:rFonts w:asciiTheme="majorHAnsi" w:eastAsia="Palatino Linotype" w:hAnsiTheme="majorHAnsi" w:cs="Times New Roman"/>
          <w:sz w:val="24"/>
          <w:szCs w:val="24"/>
        </w:rPr>
        <w:t>health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insurance </w:t>
      </w:r>
      <w:r w:rsidR="00394E15" w:rsidRPr="006E52E7">
        <w:rPr>
          <w:rFonts w:asciiTheme="majorHAnsi" w:eastAsia="Palatino Linotype" w:hAnsiTheme="majorHAnsi" w:cs="Times New Roman"/>
          <w:sz w:val="24"/>
          <w:szCs w:val="24"/>
        </w:rPr>
        <w:t xml:space="preserve">options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that provide </w:t>
      </w:r>
      <w:r w:rsidR="00946BD7">
        <w:rPr>
          <w:rFonts w:asciiTheme="majorHAnsi" w:eastAsia="Palatino Linotype" w:hAnsiTheme="majorHAnsi" w:cs="Times New Roman"/>
          <w:sz w:val="24"/>
          <w:szCs w:val="24"/>
        </w:rPr>
        <w:t xml:space="preserve">the best,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>equitable coverage for equal premium payments</w:t>
      </w:r>
      <w:r w:rsidR="00394E15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</w:t>
      </w:r>
      <w:r w:rsidR="00B1799C">
        <w:rPr>
          <w:rFonts w:asciiTheme="majorHAnsi" w:eastAsia="Palatino Linotype" w:hAnsiTheme="majorHAnsi" w:cs="Times New Roman"/>
          <w:sz w:val="24"/>
          <w:szCs w:val="24"/>
        </w:rPr>
        <w:t>for the various plans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, irrespective of </w:t>
      </w:r>
      <w:r w:rsidR="00D55192">
        <w:rPr>
          <w:rFonts w:asciiTheme="majorHAnsi" w:eastAsia="Palatino Linotype" w:hAnsiTheme="majorHAnsi" w:cs="Times New Roman"/>
          <w:sz w:val="24"/>
          <w:szCs w:val="24"/>
        </w:rPr>
        <w:t xml:space="preserve">an </w:t>
      </w:r>
      <w:r w:rsidR="00B32B31">
        <w:rPr>
          <w:rFonts w:asciiTheme="majorHAnsi" w:eastAsia="Palatino Linotype" w:hAnsiTheme="majorHAnsi" w:cs="Times New Roman"/>
          <w:sz w:val="24"/>
          <w:szCs w:val="24"/>
        </w:rPr>
        <w:t>employee</w:t>
      </w:r>
      <w:r w:rsidR="00D55192">
        <w:rPr>
          <w:rFonts w:asciiTheme="majorHAnsi" w:eastAsia="Palatino Linotype" w:hAnsiTheme="majorHAnsi" w:cs="Times New Roman"/>
          <w:sz w:val="24"/>
          <w:szCs w:val="24"/>
        </w:rPr>
        <w:t>’s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 gender</w:t>
      </w:r>
      <w:r w:rsidR="00661D42">
        <w:rPr>
          <w:rFonts w:asciiTheme="majorHAnsi" w:eastAsia="Palatino Linotype" w:hAnsiTheme="majorHAnsi" w:cs="Times New Roman"/>
          <w:sz w:val="24"/>
          <w:szCs w:val="24"/>
        </w:rPr>
        <w:t xml:space="preserve">,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 xml:space="preserve">the gender of </w:t>
      </w:r>
      <w:r w:rsidR="00394E15" w:rsidRPr="006E52E7">
        <w:rPr>
          <w:rFonts w:asciiTheme="majorHAnsi" w:eastAsia="Palatino Linotype" w:hAnsiTheme="majorHAnsi" w:cs="Times New Roman"/>
          <w:sz w:val="24"/>
          <w:szCs w:val="24"/>
        </w:rPr>
        <w:t xml:space="preserve">dependent </w:t>
      </w:r>
      <w:r w:rsidR="00F7463D" w:rsidRPr="006E52E7">
        <w:rPr>
          <w:rFonts w:asciiTheme="majorHAnsi" w:eastAsia="Palatino Linotype" w:hAnsiTheme="majorHAnsi" w:cs="Times New Roman"/>
          <w:sz w:val="24"/>
          <w:szCs w:val="24"/>
        </w:rPr>
        <w:t>children</w:t>
      </w:r>
      <w:r w:rsidR="00661D42">
        <w:rPr>
          <w:rFonts w:asciiTheme="majorHAnsi" w:eastAsia="Palatino Linotype" w:hAnsiTheme="majorHAnsi" w:cs="Times New Roman"/>
          <w:sz w:val="24"/>
          <w:szCs w:val="24"/>
        </w:rPr>
        <w:t>, or any other personal characteristic</w:t>
      </w:r>
      <w:r w:rsidR="00E7136A">
        <w:rPr>
          <w:rFonts w:asciiTheme="majorHAnsi" w:eastAsia="Arial" w:hAnsiTheme="majorHAnsi" w:cs="Times New Roman"/>
          <w:w w:val="101"/>
          <w:sz w:val="24"/>
          <w:szCs w:val="24"/>
        </w:rPr>
        <w:t xml:space="preserve"> including maternal care for dependents.</w:t>
      </w:r>
    </w:p>
    <w:sectPr w:rsidR="003607C1" w:rsidRPr="006E52E7" w:rsidSect="00926DE6">
      <w:head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AA224" w14:textId="77777777" w:rsidR="001E38AF" w:rsidRDefault="001E38AF" w:rsidP="00835B5F">
      <w:pPr>
        <w:spacing w:after="0" w:line="240" w:lineRule="auto"/>
      </w:pPr>
      <w:r>
        <w:separator/>
      </w:r>
    </w:p>
  </w:endnote>
  <w:endnote w:type="continuationSeparator" w:id="0">
    <w:p w14:paraId="3CF925B4" w14:textId="77777777" w:rsidR="001E38AF" w:rsidRDefault="001E38AF" w:rsidP="008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CC15" w14:textId="77777777" w:rsidR="001E38AF" w:rsidRDefault="001E38AF" w:rsidP="00835B5F">
      <w:pPr>
        <w:spacing w:after="0" w:line="240" w:lineRule="auto"/>
      </w:pPr>
      <w:r>
        <w:separator/>
      </w:r>
    </w:p>
  </w:footnote>
  <w:footnote w:type="continuationSeparator" w:id="0">
    <w:p w14:paraId="1D6A89A5" w14:textId="77777777" w:rsidR="001E38AF" w:rsidRDefault="001E38AF" w:rsidP="00835B5F">
      <w:pPr>
        <w:spacing w:after="0" w:line="240" w:lineRule="auto"/>
      </w:pPr>
      <w:r>
        <w:continuationSeparator/>
      </w:r>
    </w:p>
  </w:footnote>
  <w:footnote w:id="1">
    <w:p w14:paraId="033546AF" w14:textId="3258827C" w:rsidR="006E52E7" w:rsidRPr="008B4D94" w:rsidRDefault="006E52E7">
      <w:pPr>
        <w:pStyle w:val="FootnoteText"/>
        <w:rPr>
          <w:rFonts w:asciiTheme="majorHAnsi" w:hAnsiTheme="majorHAnsi"/>
          <w:sz w:val="22"/>
          <w:szCs w:val="22"/>
        </w:rPr>
      </w:pPr>
      <w:r w:rsidRPr="008B4D94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CE4DBD" w:rsidRPr="008B4D94">
        <w:rPr>
          <w:rFonts w:asciiTheme="majorHAnsi" w:hAnsiTheme="majorHAnsi"/>
          <w:sz w:val="22"/>
          <w:szCs w:val="22"/>
        </w:rPr>
        <w:t xml:space="preserve">Inflation rate calculated using the CPI (Consumer Price Index) </w:t>
      </w:r>
      <w:r w:rsidR="00A45C8E" w:rsidRPr="008B4D94">
        <w:rPr>
          <w:rFonts w:asciiTheme="majorHAnsi" w:hAnsiTheme="majorHAnsi"/>
          <w:sz w:val="22"/>
          <w:szCs w:val="22"/>
        </w:rPr>
        <w:t xml:space="preserve">monthly </w:t>
      </w:r>
      <w:r w:rsidRPr="008B4D94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rates </w:t>
      </w:r>
      <w:r w:rsidR="00A45C8E" w:rsidRPr="008B4D94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published by</w:t>
      </w:r>
      <w:r w:rsidRPr="008B4D94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the Bureau of Labor Statistics</w:t>
      </w:r>
      <w:r w:rsidR="00CE4DBD" w:rsidRPr="008B4D94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(</w:t>
      </w:r>
      <w:r w:rsidR="00CE4DBD" w:rsidRPr="008B4D94">
        <w:rPr>
          <w:rFonts w:asciiTheme="majorHAnsi" w:hAnsiTheme="majorHAnsi"/>
          <w:sz w:val="22"/>
          <w:szCs w:val="22"/>
        </w:rPr>
        <w:t>www.bls.gov).</w:t>
      </w:r>
    </w:p>
  </w:footnote>
  <w:footnote w:id="2">
    <w:p w14:paraId="4C59EAE7" w14:textId="4C913C8F" w:rsidR="00B56C3E" w:rsidRPr="008B4D94" w:rsidRDefault="00B56C3E">
      <w:pPr>
        <w:pStyle w:val="FootnoteText"/>
        <w:rPr>
          <w:rFonts w:asciiTheme="majorHAnsi" w:hAnsiTheme="majorHAnsi"/>
          <w:sz w:val="22"/>
          <w:szCs w:val="22"/>
        </w:rPr>
      </w:pPr>
      <w:r w:rsidRPr="008B4D94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2640DB" w:rsidRPr="008B4D94">
        <w:rPr>
          <w:rFonts w:asciiTheme="majorHAnsi" w:hAnsiTheme="majorHAnsi"/>
          <w:sz w:val="22"/>
          <w:szCs w:val="22"/>
        </w:rPr>
        <w:t xml:space="preserve">Large employers include those with more than 1,000 employees, </w:t>
      </w:r>
      <w:r w:rsidR="00CE4DBD" w:rsidRPr="008B4D94">
        <w:rPr>
          <w:rFonts w:asciiTheme="majorHAnsi" w:hAnsiTheme="majorHAnsi"/>
          <w:sz w:val="22"/>
          <w:szCs w:val="22"/>
        </w:rPr>
        <w:t>at which</w:t>
      </w:r>
      <w:r w:rsidR="002640DB" w:rsidRPr="008B4D94">
        <w:rPr>
          <w:rFonts w:asciiTheme="majorHAnsi" w:hAnsiTheme="majorHAnsi"/>
          <w:sz w:val="22"/>
          <w:szCs w:val="22"/>
        </w:rPr>
        <w:t xml:space="preserve"> the average cost of </w:t>
      </w:r>
      <w:r w:rsidR="00A55554">
        <w:rPr>
          <w:rFonts w:asciiTheme="majorHAnsi" w:hAnsiTheme="majorHAnsi"/>
          <w:sz w:val="22"/>
          <w:szCs w:val="22"/>
        </w:rPr>
        <w:t>a plan for an</w:t>
      </w:r>
      <w:r w:rsidR="002640DB" w:rsidRPr="008B4D94">
        <w:rPr>
          <w:rFonts w:asciiTheme="majorHAnsi" w:hAnsiTheme="majorHAnsi"/>
          <w:sz w:val="22"/>
          <w:szCs w:val="22"/>
        </w:rPr>
        <w:t xml:space="preserve"> employee plus family came to $5,049 in 2019. See </w:t>
      </w:r>
      <w:r w:rsidR="00701302" w:rsidRPr="008B4D94">
        <w:rPr>
          <w:rFonts w:asciiTheme="majorHAnsi" w:hAnsiTheme="majorHAnsi"/>
          <w:sz w:val="22"/>
          <w:szCs w:val="22"/>
        </w:rPr>
        <w:t>Emily Woodruff,</w:t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AA46B4" w:rsidRPr="008B4D94">
        <w:rPr>
          <w:rFonts w:asciiTheme="majorHAnsi" w:hAnsiTheme="majorHAnsi"/>
          <w:sz w:val="22"/>
          <w:szCs w:val="22"/>
        </w:rPr>
        <w:t>“</w:t>
      </w:r>
      <w:r w:rsidR="00701302" w:rsidRPr="008B4D94">
        <w:rPr>
          <w:rFonts w:asciiTheme="majorHAnsi" w:hAnsiTheme="majorHAnsi"/>
          <w:sz w:val="22"/>
          <w:szCs w:val="22"/>
        </w:rPr>
        <w:t>Why do Louisiana Workers Pay More for Family Health Insurance?</w:t>
      </w:r>
      <w:r w:rsidR="00AA46B4" w:rsidRPr="008B4D94">
        <w:rPr>
          <w:rFonts w:asciiTheme="majorHAnsi" w:hAnsiTheme="majorHAnsi"/>
          <w:sz w:val="22"/>
          <w:szCs w:val="22"/>
        </w:rPr>
        <w:t>”</w:t>
      </w:r>
      <w:r w:rsidR="00701302" w:rsidRPr="008B4D94">
        <w:rPr>
          <w:rFonts w:asciiTheme="majorHAnsi" w:hAnsiTheme="majorHAnsi"/>
          <w:sz w:val="22"/>
          <w:szCs w:val="22"/>
        </w:rPr>
        <w:t xml:space="preserve"> www.nola.com, November 21, 2019.</w:t>
      </w:r>
    </w:p>
  </w:footnote>
  <w:footnote w:id="3">
    <w:p w14:paraId="373E35F3" w14:textId="14086CD6" w:rsidR="00AE7470" w:rsidRPr="008B4D94" w:rsidRDefault="00AE7470">
      <w:pPr>
        <w:pStyle w:val="FootnoteText"/>
        <w:rPr>
          <w:rFonts w:asciiTheme="majorHAnsi" w:hAnsiTheme="majorHAnsi"/>
          <w:sz w:val="22"/>
          <w:szCs w:val="22"/>
        </w:rPr>
      </w:pPr>
      <w:r w:rsidRPr="008B4D94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D20A12">
        <w:rPr>
          <w:rFonts w:asciiTheme="majorHAnsi" w:hAnsiTheme="majorHAnsi"/>
          <w:sz w:val="22"/>
          <w:szCs w:val="22"/>
        </w:rPr>
        <w:t>Faculty s</w:t>
      </w:r>
      <w:r w:rsidR="00374097">
        <w:rPr>
          <w:rFonts w:asciiTheme="majorHAnsi" w:hAnsiTheme="majorHAnsi"/>
          <w:sz w:val="22"/>
          <w:szCs w:val="22"/>
        </w:rPr>
        <w:t>alaries s</w:t>
      </w:r>
      <w:r w:rsidR="00CC7534" w:rsidRPr="008B4D94">
        <w:rPr>
          <w:rFonts w:asciiTheme="majorHAnsi" w:hAnsiTheme="majorHAnsi"/>
          <w:sz w:val="22"/>
          <w:szCs w:val="22"/>
        </w:rPr>
        <w:t>ince 2008-09, a</w:t>
      </w:r>
      <w:r w:rsidRPr="008B4D94">
        <w:rPr>
          <w:rFonts w:asciiTheme="majorHAnsi" w:hAnsiTheme="majorHAnsi"/>
          <w:sz w:val="22"/>
          <w:szCs w:val="22"/>
        </w:rPr>
        <w:t xml:space="preserve">djusted for </w:t>
      </w:r>
      <w:r w:rsidR="00CC7534" w:rsidRPr="008B4D94">
        <w:rPr>
          <w:rFonts w:asciiTheme="majorHAnsi" w:hAnsiTheme="majorHAnsi"/>
          <w:sz w:val="22"/>
          <w:szCs w:val="22"/>
        </w:rPr>
        <w:t xml:space="preserve">inflation using the </w:t>
      </w:r>
      <w:r w:rsidRPr="008B4D94">
        <w:rPr>
          <w:rFonts w:asciiTheme="majorHAnsi" w:hAnsiTheme="majorHAnsi"/>
          <w:sz w:val="22"/>
          <w:szCs w:val="22"/>
        </w:rPr>
        <w:t xml:space="preserve">CPI, </w:t>
      </w:r>
      <w:r w:rsidR="00D20A12">
        <w:rPr>
          <w:rFonts w:asciiTheme="majorHAnsi" w:hAnsiTheme="majorHAnsi"/>
          <w:sz w:val="22"/>
          <w:szCs w:val="22"/>
        </w:rPr>
        <w:t>have</w:t>
      </w:r>
      <w:r w:rsidR="00D20A12" w:rsidRPr="008B4D94">
        <w:rPr>
          <w:rFonts w:asciiTheme="majorHAnsi" w:hAnsiTheme="majorHAnsi"/>
          <w:sz w:val="22"/>
          <w:szCs w:val="22"/>
        </w:rPr>
        <w:t xml:space="preserve"> </w:t>
      </w:r>
      <w:r w:rsidR="00D20A12">
        <w:rPr>
          <w:rFonts w:asciiTheme="majorHAnsi" w:hAnsiTheme="majorHAnsi"/>
          <w:sz w:val="22"/>
          <w:szCs w:val="22"/>
        </w:rPr>
        <w:t xml:space="preserve">declined by </w:t>
      </w:r>
      <w:r w:rsidR="00D20A12" w:rsidRPr="008B4D94">
        <w:rPr>
          <w:rFonts w:asciiTheme="majorHAnsi" w:hAnsiTheme="majorHAnsi"/>
          <w:sz w:val="22"/>
          <w:szCs w:val="22"/>
        </w:rPr>
        <w:t>4.</w:t>
      </w:r>
      <w:r w:rsidR="00D20A12">
        <w:rPr>
          <w:rFonts w:asciiTheme="majorHAnsi" w:hAnsiTheme="majorHAnsi"/>
          <w:sz w:val="22"/>
          <w:szCs w:val="22"/>
        </w:rPr>
        <w:t xml:space="preserve">4 percent despite </w:t>
      </w:r>
      <w:r w:rsidR="00B51475">
        <w:rPr>
          <w:rFonts w:asciiTheme="majorHAnsi" w:hAnsiTheme="majorHAnsi"/>
          <w:sz w:val="22"/>
          <w:szCs w:val="22"/>
        </w:rPr>
        <w:t xml:space="preserve">“merit” </w:t>
      </w:r>
      <w:r w:rsidRPr="008B4D94">
        <w:rPr>
          <w:rFonts w:asciiTheme="majorHAnsi" w:hAnsiTheme="majorHAnsi"/>
          <w:sz w:val="22"/>
          <w:szCs w:val="22"/>
        </w:rPr>
        <w:t xml:space="preserve">raises </w:t>
      </w:r>
      <w:r w:rsidR="00CC7534" w:rsidRPr="008B4D94">
        <w:rPr>
          <w:rFonts w:asciiTheme="majorHAnsi" w:hAnsiTheme="majorHAnsi"/>
          <w:sz w:val="22"/>
          <w:szCs w:val="22"/>
        </w:rPr>
        <w:t>averaging 4</w:t>
      </w:r>
      <w:r w:rsidR="00B51475">
        <w:rPr>
          <w:rFonts w:asciiTheme="majorHAnsi" w:hAnsiTheme="majorHAnsi"/>
          <w:sz w:val="22"/>
          <w:szCs w:val="22"/>
        </w:rPr>
        <w:t xml:space="preserve">% </w:t>
      </w:r>
      <w:r w:rsidR="00CC7534" w:rsidRPr="008B4D94">
        <w:rPr>
          <w:rFonts w:asciiTheme="majorHAnsi" w:hAnsiTheme="majorHAnsi"/>
          <w:sz w:val="22"/>
          <w:szCs w:val="22"/>
        </w:rPr>
        <w:t>in 2013-14</w:t>
      </w:r>
      <w:r w:rsidR="00D97C57" w:rsidRPr="008B4D94">
        <w:rPr>
          <w:rFonts w:asciiTheme="majorHAnsi" w:hAnsiTheme="majorHAnsi"/>
          <w:sz w:val="22"/>
          <w:szCs w:val="22"/>
        </w:rPr>
        <w:t xml:space="preserve"> and</w:t>
      </w:r>
      <w:r w:rsidR="00CC7534" w:rsidRPr="008B4D94">
        <w:rPr>
          <w:rFonts w:asciiTheme="majorHAnsi" w:hAnsiTheme="majorHAnsi"/>
          <w:sz w:val="22"/>
          <w:szCs w:val="22"/>
        </w:rPr>
        <w:t xml:space="preserve"> 3</w:t>
      </w:r>
      <w:r w:rsidR="00B51475">
        <w:rPr>
          <w:rFonts w:asciiTheme="majorHAnsi" w:hAnsiTheme="majorHAnsi"/>
          <w:sz w:val="22"/>
          <w:szCs w:val="22"/>
        </w:rPr>
        <w:t xml:space="preserve">% </w:t>
      </w:r>
      <w:r w:rsidR="00CC7534" w:rsidRPr="008B4D94">
        <w:rPr>
          <w:rFonts w:asciiTheme="majorHAnsi" w:hAnsiTheme="majorHAnsi"/>
          <w:sz w:val="22"/>
          <w:szCs w:val="22"/>
        </w:rPr>
        <w:t>in 2014-15, 2017-18, and 2018-19</w:t>
      </w:r>
      <w:r w:rsidR="00D20A12">
        <w:rPr>
          <w:rFonts w:asciiTheme="majorHAnsi" w:hAnsiTheme="majorHAnsi"/>
          <w:sz w:val="22"/>
          <w:szCs w:val="22"/>
        </w:rPr>
        <w:t>.</w:t>
      </w:r>
      <w:r w:rsidR="00CC7534" w:rsidRPr="008B4D94">
        <w:rPr>
          <w:rFonts w:asciiTheme="majorHAnsi" w:hAnsiTheme="majorHAnsi"/>
          <w:sz w:val="22"/>
          <w:szCs w:val="22"/>
        </w:rPr>
        <w:t xml:space="preserve"> </w:t>
      </w:r>
      <w:r w:rsidR="00D20A12">
        <w:rPr>
          <w:rFonts w:asciiTheme="majorHAnsi" w:hAnsiTheme="majorHAnsi"/>
          <w:sz w:val="22"/>
          <w:szCs w:val="22"/>
        </w:rPr>
        <w:t>M</w:t>
      </w:r>
      <w:r w:rsidRPr="008B4D94">
        <w:rPr>
          <w:rFonts w:asciiTheme="majorHAnsi" w:hAnsiTheme="majorHAnsi"/>
          <w:sz w:val="22"/>
          <w:szCs w:val="22"/>
        </w:rPr>
        <w:t xml:space="preserve">ore than a decade </w:t>
      </w:r>
      <w:r w:rsidR="00CC7534" w:rsidRPr="008B4D94">
        <w:rPr>
          <w:rFonts w:asciiTheme="majorHAnsi" w:hAnsiTheme="majorHAnsi"/>
          <w:sz w:val="22"/>
          <w:szCs w:val="22"/>
        </w:rPr>
        <w:t>of austerity</w:t>
      </w:r>
      <w:r w:rsidR="00D20A12">
        <w:rPr>
          <w:rFonts w:asciiTheme="majorHAnsi" w:hAnsiTheme="majorHAnsi"/>
          <w:sz w:val="22"/>
          <w:szCs w:val="22"/>
        </w:rPr>
        <w:t xml:space="preserve"> ha</w:t>
      </w:r>
      <w:r w:rsidR="00A55554">
        <w:rPr>
          <w:rFonts w:asciiTheme="majorHAnsi" w:hAnsiTheme="majorHAnsi"/>
          <w:sz w:val="22"/>
          <w:szCs w:val="22"/>
        </w:rPr>
        <w:t>s</w:t>
      </w:r>
      <w:r w:rsidR="00D20A12">
        <w:rPr>
          <w:rFonts w:asciiTheme="majorHAnsi" w:hAnsiTheme="majorHAnsi"/>
          <w:sz w:val="22"/>
          <w:szCs w:val="22"/>
        </w:rPr>
        <w:t xml:space="preserve"> resulted in</w:t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B32B31">
        <w:rPr>
          <w:rFonts w:asciiTheme="majorHAnsi" w:hAnsiTheme="majorHAnsi"/>
          <w:sz w:val="22"/>
          <w:szCs w:val="22"/>
        </w:rPr>
        <w:t xml:space="preserve">a grotesque degree of salary compression and </w:t>
      </w:r>
      <w:r w:rsidRPr="008B4D94">
        <w:rPr>
          <w:rFonts w:asciiTheme="majorHAnsi" w:hAnsiTheme="majorHAnsi"/>
          <w:sz w:val="22"/>
          <w:szCs w:val="22"/>
        </w:rPr>
        <w:t xml:space="preserve">cumulative losses </w:t>
      </w:r>
      <w:r w:rsidR="00D20A12">
        <w:rPr>
          <w:rFonts w:asciiTheme="majorHAnsi" w:hAnsiTheme="majorHAnsi"/>
          <w:sz w:val="22"/>
          <w:szCs w:val="22"/>
        </w:rPr>
        <w:t>of</w:t>
      </w:r>
      <w:r w:rsidRPr="008B4D94">
        <w:rPr>
          <w:rFonts w:asciiTheme="majorHAnsi" w:hAnsiTheme="majorHAnsi"/>
          <w:sz w:val="22"/>
          <w:szCs w:val="22"/>
        </w:rPr>
        <w:t xml:space="preserve"> </w:t>
      </w:r>
      <w:r w:rsidR="00CC7534" w:rsidRPr="008B4D94">
        <w:rPr>
          <w:rFonts w:asciiTheme="majorHAnsi" w:hAnsiTheme="majorHAnsi"/>
          <w:sz w:val="22"/>
          <w:szCs w:val="22"/>
        </w:rPr>
        <w:t>ten</w:t>
      </w:r>
      <w:r w:rsidR="00993CFD">
        <w:rPr>
          <w:rFonts w:asciiTheme="majorHAnsi" w:hAnsiTheme="majorHAnsi"/>
          <w:sz w:val="22"/>
          <w:szCs w:val="22"/>
        </w:rPr>
        <w:t>s</w:t>
      </w:r>
      <w:r w:rsidR="00CC7534" w:rsidRPr="008B4D94">
        <w:rPr>
          <w:rFonts w:asciiTheme="majorHAnsi" w:hAnsiTheme="majorHAnsi"/>
          <w:sz w:val="22"/>
          <w:szCs w:val="22"/>
        </w:rPr>
        <w:t>-of-thousands of dollars per faculty member</w:t>
      </w:r>
      <w:r w:rsidR="00D55192">
        <w:rPr>
          <w:rFonts w:asciiTheme="majorHAnsi" w:hAnsiTheme="majorHAnsi"/>
          <w:sz w:val="22"/>
          <w:szCs w:val="22"/>
        </w:rPr>
        <w:t xml:space="preserve">—enough </w:t>
      </w:r>
      <w:r w:rsidR="008B4D94">
        <w:rPr>
          <w:rFonts w:asciiTheme="majorHAnsi" w:hAnsiTheme="majorHAnsi"/>
          <w:sz w:val="22"/>
          <w:szCs w:val="22"/>
        </w:rPr>
        <w:t xml:space="preserve">to pay </w:t>
      </w:r>
      <w:r w:rsidR="00D20A12">
        <w:rPr>
          <w:rFonts w:asciiTheme="majorHAnsi" w:hAnsiTheme="majorHAnsi"/>
          <w:sz w:val="22"/>
          <w:szCs w:val="22"/>
        </w:rPr>
        <w:t>a</w:t>
      </w:r>
      <w:r w:rsidR="008B4D94">
        <w:rPr>
          <w:rFonts w:asciiTheme="majorHAnsi" w:hAnsiTheme="majorHAnsi"/>
          <w:sz w:val="22"/>
          <w:szCs w:val="22"/>
        </w:rPr>
        <w:t xml:space="preserve"> child’s college tuition </w:t>
      </w:r>
      <w:r w:rsidR="00AC55B6">
        <w:rPr>
          <w:rFonts w:asciiTheme="majorHAnsi" w:hAnsiTheme="majorHAnsi"/>
          <w:sz w:val="22"/>
          <w:szCs w:val="22"/>
        </w:rPr>
        <w:t xml:space="preserve">and fees </w:t>
      </w:r>
      <w:r w:rsidR="008B4D94">
        <w:rPr>
          <w:rFonts w:asciiTheme="majorHAnsi" w:hAnsiTheme="majorHAnsi"/>
          <w:sz w:val="22"/>
          <w:szCs w:val="22"/>
        </w:rPr>
        <w:t>(see Resolution 19-07, “</w:t>
      </w:r>
      <w:r w:rsidR="008B4D94" w:rsidRPr="008B4D94">
        <w:rPr>
          <w:rFonts w:asciiTheme="majorHAnsi" w:hAnsiTheme="majorHAnsi"/>
          <w:sz w:val="22"/>
          <w:szCs w:val="22"/>
        </w:rPr>
        <w:t>Tuition Reduction and Fee Remission for LSU Faculty Children and Spouses</w:t>
      </w:r>
      <w:r w:rsidR="00661D42">
        <w:rPr>
          <w:rFonts w:asciiTheme="majorHAnsi" w:hAnsiTheme="majorHAnsi"/>
          <w:sz w:val="22"/>
          <w:szCs w:val="22"/>
        </w:rPr>
        <w:t xml:space="preserve">,” </w:t>
      </w:r>
      <w:r w:rsidR="00AC55B6">
        <w:rPr>
          <w:rFonts w:asciiTheme="majorHAnsi" w:hAnsiTheme="majorHAnsi"/>
          <w:sz w:val="22"/>
          <w:szCs w:val="22"/>
        </w:rPr>
        <w:t>adopted January 16, 2020)</w:t>
      </w:r>
      <w:r w:rsidR="00CC7534" w:rsidRPr="008B4D94">
        <w:rPr>
          <w:rFonts w:asciiTheme="majorHAnsi" w:hAnsiTheme="majorHAnsi"/>
          <w:sz w:val="22"/>
          <w:szCs w:val="22"/>
        </w:rPr>
        <w:t>.</w:t>
      </w:r>
    </w:p>
  </w:footnote>
  <w:footnote w:id="4">
    <w:p w14:paraId="43F15FED" w14:textId="77777777" w:rsidR="00B1799C" w:rsidRPr="008B4D94" w:rsidRDefault="00B1799C" w:rsidP="00B1799C">
      <w:pPr>
        <w:pStyle w:val="FootnoteText"/>
        <w:rPr>
          <w:rFonts w:asciiTheme="majorHAnsi" w:hAnsiTheme="majorHAnsi"/>
          <w:sz w:val="22"/>
          <w:szCs w:val="22"/>
        </w:rPr>
      </w:pPr>
      <w:r w:rsidRPr="008B4D94">
        <w:rPr>
          <w:rStyle w:val="FootnoteReference"/>
          <w:rFonts w:asciiTheme="majorHAnsi" w:hAnsiTheme="majorHAnsi"/>
          <w:sz w:val="22"/>
          <w:szCs w:val="22"/>
        </w:rPr>
        <w:footnoteRef/>
      </w:r>
      <w:r w:rsidRPr="008B4D94">
        <w:rPr>
          <w:rFonts w:asciiTheme="majorHAnsi" w:hAnsiTheme="majorHAnsi"/>
          <w:sz w:val="22"/>
          <w:szCs w:val="22"/>
        </w:rPr>
        <w:t xml:space="preserve"> See Resolution 10-04, “Full Disclosure of Benefits for Job Candidates” (</w:t>
      </w:r>
      <w:r>
        <w:rPr>
          <w:rFonts w:asciiTheme="majorHAnsi" w:hAnsiTheme="majorHAnsi"/>
          <w:sz w:val="22"/>
          <w:szCs w:val="22"/>
        </w:rPr>
        <w:t>adopted</w:t>
      </w:r>
      <w:r w:rsidRPr="008B4D94">
        <w:rPr>
          <w:rFonts w:asciiTheme="majorHAnsi" w:hAnsiTheme="majorHAnsi"/>
          <w:sz w:val="22"/>
          <w:szCs w:val="22"/>
        </w:rPr>
        <w:t xml:space="preserve"> March 15, 2010).</w:t>
      </w:r>
    </w:p>
    <w:p w14:paraId="1DF9DB8B" w14:textId="77777777" w:rsidR="00B1799C" w:rsidRPr="006E52E7" w:rsidRDefault="00B1799C" w:rsidP="00B1799C">
      <w:pPr>
        <w:pStyle w:val="FootnoteText"/>
        <w:rPr>
          <w:rFonts w:asciiTheme="majorHAnsi" w:hAnsiTheme="maj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0CC7" w14:textId="007EEC89" w:rsidR="00835B5F" w:rsidRDefault="001E38AF">
    <w:pPr>
      <w:pStyle w:val="Header"/>
      <w:jc w:val="right"/>
    </w:pPr>
    <w:sdt>
      <w:sdtPr>
        <w:id w:val="20786999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35B5F">
          <w:fldChar w:fldCharType="begin"/>
        </w:r>
        <w:r w:rsidR="00835B5F">
          <w:instrText xml:space="preserve"> PAGE   \* MERGEFORMAT </w:instrText>
        </w:r>
        <w:r w:rsidR="00835B5F">
          <w:fldChar w:fldCharType="separate"/>
        </w:r>
        <w:r w:rsidR="001263E9">
          <w:rPr>
            <w:noProof/>
          </w:rPr>
          <w:t>2</w:t>
        </w:r>
        <w:r w:rsidR="00835B5F">
          <w:rPr>
            <w:noProof/>
          </w:rPr>
          <w:fldChar w:fldCharType="end"/>
        </w:r>
      </w:sdtContent>
    </w:sdt>
  </w:p>
  <w:p w14:paraId="6A05A809" w14:textId="77777777" w:rsidR="00835B5F" w:rsidRDefault="00835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0AB"/>
    <w:multiLevelType w:val="hybridMultilevel"/>
    <w:tmpl w:val="9A8A362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2"/>
    <w:rsid w:val="0000638E"/>
    <w:rsid w:val="000100C1"/>
    <w:rsid w:val="0001609C"/>
    <w:rsid w:val="000273EF"/>
    <w:rsid w:val="00033386"/>
    <w:rsid w:val="00037271"/>
    <w:rsid w:val="000523EC"/>
    <w:rsid w:val="00067293"/>
    <w:rsid w:val="00075447"/>
    <w:rsid w:val="00091F4F"/>
    <w:rsid w:val="000A302F"/>
    <w:rsid w:val="000A4774"/>
    <w:rsid w:val="000A556E"/>
    <w:rsid w:val="000B429C"/>
    <w:rsid w:val="000C05E6"/>
    <w:rsid w:val="000C5FFB"/>
    <w:rsid w:val="000E4BD7"/>
    <w:rsid w:val="000F0C9B"/>
    <w:rsid w:val="000F28EB"/>
    <w:rsid w:val="000F7237"/>
    <w:rsid w:val="001263E9"/>
    <w:rsid w:val="00131EED"/>
    <w:rsid w:val="00137CC5"/>
    <w:rsid w:val="00140F09"/>
    <w:rsid w:val="00152B47"/>
    <w:rsid w:val="001C1E37"/>
    <w:rsid w:val="001C418A"/>
    <w:rsid w:val="001E38AF"/>
    <w:rsid w:val="001E4DBF"/>
    <w:rsid w:val="001E57AF"/>
    <w:rsid w:val="001E7600"/>
    <w:rsid w:val="00236D44"/>
    <w:rsid w:val="0025193F"/>
    <w:rsid w:val="002620F0"/>
    <w:rsid w:val="002640DB"/>
    <w:rsid w:val="00266D79"/>
    <w:rsid w:val="002A41B5"/>
    <w:rsid w:val="002A4869"/>
    <w:rsid w:val="002E7A6F"/>
    <w:rsid w:val="002F0458"/>
    <w:rsid w:val="003004F7"/>
    <w:rsid w:val="00304A0F"/>
    <w:rsid w:val="003135C8"/>
    <w:rsid w:val="003338E0"/>
    <w:rsid w:val="003424D6"/>
    <w:rsid w:val="003452B4"/>
    <w:rsid w:val="0035070B"/>
    <w:rsid w:val="00353996"/>
    <w:rsid w:val="003607C1"/>
    <w:rsid w:val="00374097"/>
    <w:rsid w:val="00374D11"/>
    <w:rsid w:val="0037619B"/>
    <w:rsid w:val="0038580D"/>
    <w:rsid w:val="00390B93"/>
    <w:rsid w:val="00394E15"/>
    <w:rsid w:val="003A2BCE"/>
    <w:rsid w:val="003A4F31"/>
    <w:rsid w:val="003B3916"/>
    <w:rsid w:val="003D3DA5"/>
    <w:rsid w:val="003E4566"/>
    <w:rsid w:val="003E777A"/>
    <w:rsid w:val="003F3260"/>
    <w:rsid w:val="00403D13"/>
    <w:rsid w:val="0041268C"/>
    <w:rsid w:val="00416FF8"/>
    <w:rsid w:val="0042279B"/>
    <w:rsid w:val="00467E9F"/>
    <w:rsid w:val="00475575"/>
    <w:rsid w:val="00496E05"/>
    <w:rsid w:val="004E64CF"/>
    <w:rsid w:val="0051026C"/>
    <w:rsid w:val="00515210"/>
    <w:rsid w:val="00520928"/>
    <w:rsid w:val="005213D6"/>
    <w:rsid w:val="00546E6A"/>
    <w:rsid w:val="00551314"/>
    <w:rsid w:val="00575A49"/>
    <w:rsid w:val="0058046C"/>
    <w:rsid w:val="005A5226"/>
    <w:rsid w:val="005B265A"/>
    <w:rsid w:val="005B750F"/>
    <w:rsid w:val="005B7755"/>
    <w:rsid w:val="005C6872"/>
    <w:rsid w:val="005D6907"/>
    <w:rsid w:val="005F161B"/>
    <w:rsid w:val="005F7C98"/>
    <w:rsid w:val="00600C50"/>
    <w:rsid w:val="0060771C"/>
    <w:rsid w:val="00614869"/>
    <w:rsid w:val="00617EE2"/>
    <w:rsid w:val="00620626"/>
    <w:rsid w:val="00626A44"/>
    <w:rsid w:val="00651345"/>
    <w:rsid w:val="00652C6D"/>
    <w:rsid w:val="00661D42"/>
    <w:rsid w:val="00666449"/>
    <w:rsid w:val="0066671D"/>
    <w:rsid w:val="006B34BE"/>
    <w:rsid w:val="006C58E5"/>
    <w:rsid w:val="006E52E7"/>
    <w:rsid w:val="006F6FBB"/>
    <w:rsid w:val="00701302"/>
    <w:rsid w:val="00713233"/>
    <w:rsid w:val="00733350"/>
    <w:rsid w:val="00752F02"/>
    <w:rsid w:val="007D698C"/>
    <w:rsid w:val="007D769C"/>
    <w:rsid w:val="008231BC"/>
    <w:rsid w:val="00835B5F"/>
    <w:rsid w:val="00860DF8"/>
    <w:rsid w:val="00864655"/>
    <w:rsid w:val="008670A4"/>
    <w:rsid w:val="0087065E"/>
    <w:rsid w:val="00881B2B"/>
    <w:rsid w:val="00887F51"/>
    <w:rsid w:val="00893A7F"/>
    <w:rsid w:val="008942C7"/>
    <w:rsid w:val="00894557"/>
    <w:rsid w:val="008A3B67"/>
    <w:rsid w:val="008B3FF8"/>
    <w:rsid w:val="008B4D94"/>
    <w:rsid w:val="008B515D"/>
    <w:rsid w:val="008F5641"/>
    <w:rsid w:val="00903216"/>
    <w:rsid w:val="00907B3B"/>
    <w:rsid w:val="009242B9"/>
    <w:rsid w:val="00926DE6"/>
    <w:rsid w:val="00946BD7"/>
    <w:rsid w:val="00947124"/>
    <w:rsid w:val="0095053E"/>
    <w:rsid w:val="00956600"/>
    <w:rsid w:val="00975558"/>
    <w:rsid w:val="0098264E"/>
    <w:rsid w:val="00983BDB"/>
    <w:rsid w:val="00990EFD"/>
    <w:rsid w:val="00993CFD"/>
    <w:rsid w:val="009D277D"/>
    <w:rsid w:val="009D4860"/>
    <w:rsid w:val="009F050B"/>
    <w:rsid w:val="00A17AFC"/>
    <w:rsid w:val="00A27DBF"/>
    <w:rsid w:val="00A45C8E"/>
    <w:rsid w:val="00A531B4"/>
    <w:rsid w:val="00A5434C"/>
    <w:rsid w:val="00A55554"/>
    <w:rsid w:val="00A57765"/>
    <w:rsid w:val="00A72821"/>
    <w:rsid w:val="00A82060"/>
    <w:rsid w:val="00A93A69"/>
    <w:rsid w:val="00AA46B4"/>
    <w:rsid w:val="00AB175F"/>
    <w:rsid w:val="00AC55B6"/>
    <w:rsid w:val="00AD3EA5"/>
    <w:rsid w:val="00AE1334"/>
    <w:rsid w:val="00AE7470"/>
    <w:rsid w:val="00AF13FD"/>
    <w:rsid w:val="00B11B52"/>
    <w:rsid w:val="00B1799C"/>
    <w:rsid w:val="00B32B31"/>
    <w:rsid w:val="00B33C93"/>
    <w:rsid w:val="00B35518"/>
    <w:rsid w:val="00B37F34"/>
    <w:rsid w:val="00B45E6E"/>
    <w:rsid w:val="00B51475"/>
    <w:rsid w:val="00B5382E"/>
    <w:rsid w:val="00B56C3E"/>
    <w:rsid w:val="00B63802"/>
    <w:rsid w:val="00B651FC"/>
    <w:rsid w:val="00B8285C"/>
    <w:rsid w:val="00B97212"/>
    <w:rsid w:val="00BA3EC5"/>
    <w:rsid w:val="00BB5B24"/>
    <w:rsid w:val="00BB7CD6"/>
    <w:rsid w:val="00BD1263"/>
    <w:rsid w:val="00BD18F0"/>
    <w:rsid w:val="00BE3BB5"/>
    <w:rsid w:val="00BF2C4D"/>
    <w:rsid w:val="00BF75E1"/>
    <w:rsid w:val="00C0745B"/>
    <w:rsid w:val="00C418FA"/>
    <w:rsid w:val="00C54686"/>
    <w:rsid w:val="00C63B42"/>
    <w:rsid w:val="00C8090C"/>
    <w:rsid w:val="00C80A2A"/>
    <w:rsid w:val="00CB460F"/>
    <w:rsid w:val="00CB467A"/>
    <w:rsid w:val="00CB4E23"/>
    <w:rsid w:val="00CC7534"/>
    <w:rsid w:val="00CE4DBD"/>
    <w:rsid w:val="00CF111F"/>
    <w:rsid w:val="00D025B1"/>
    <w:rsid w:val="00D075FA"/>
    <w:rsid w:val="00D14EFB"/>
    <w:rsid w:val="00D1653F"/>
    <w:rsid w:val="00D166D4"/>
    <w:rsid w:val="00D20A12"/>
    <w:rsid w:val="00D25A30"/>
    <w:rsid w:val="00D3642E"/>
    <w:rsid w:val="00D43EDC"/>
    <w:rsid w:val="00D55192"/>
    <w:rsid w:val="00D55341"/>
    <w:rsid w:val="00D57EF5"/>
    <w:rsid w:val="00D6157B"/>
    <w:rsid w:val="00D6161C"/>
    <w:rsid w:val="00D71943"/>
    <w:rsid w:val="00D853AE"/>
    <w:rsid w:val="00D94CE5"/>
    <w:rsid w:val="00D97C57"/>
    <w:rsid w:val="00DA6340"/>
    <w:rsid w:val="00DE1305"/>
    <w:rsid w:val="00E0134B"/>
    <w:rsid w:val="00E058E6"/>
    <w:rsid w:val="00E14C6F"/>
    <w:rsid w:val="00E17B6B"/>
    <w:rsid w:val="00E31D37"/>
    <w:rsid w:val="00E7136A"/>
    <w:rsid w:val="00E72889"/>
    <w:rsid w:val="00E77D23"/>
    <w:rsid w:val="00E85697"/>
    <w:rsid w:val="00E9610B"/>
    <w:rsid w:val="00EB2554"/>
    <w:rsid w:val="00EB56B1"/>
    <w:rsid w:val="00EC148A"/>
    <w:rsid w:val="00EC4B1A"/>
    <w:rsid w:val="00ED0D74"/>
    <w:rsid w:val="00EF0B31"/>
    <w:rsid w:val="00F00109"/>
    <w:rsid w:val="00F23EBB"/>
    <w:rsid w:val="00F57CD2"/>
    <w:rsid w:val="00F7463D"/>
    <w:rsid w:val="00F847FC"/>
    <w:rsid w:val="00F84A5A"/>
    <w:rsid w:val="00F87B94"/>
    <w:rsid w:val="00F92862"/>
    <w:rsid w:val="00FA14A6"/>
    <w:rsid w:val="00FA63A8"/>
    <w:rsid w:val="00FA72FD"/>
    <w:rsid w:val="00FD3C62"/>
    <w:rsid w:val="00FF0C29"/>
    <w:rsid w:val="0D5A9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7E79B"/>
  <w15:docId w15:val="{1D413571-CDE5-46BB-901E-3BB6A695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B5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5F"/>
  </w:style>
  <w:style w:type="paragraph" w:styleId="Footer">
    <w:name w:val="footer"/>
    <w:basedOn w:val="Normal"/>
    <w:link w:val="FooterChar"/>
    <w:uiPriority w:val="99"/>
    <w:unhideWhenUsed/>
    <w:rsid w:val="0083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5F"/>
  </w:style>
  <w:style w:type="paragraph" w:styleId="FootnoteText">
    <w:name w:val="footnote text"/>
    <w:basedOn w:val="Normal"/>
    <w:link w:val="FootnoteTextChar"/>
    <w:uiPriority w:val="99"/>
    <w:semiHidden/>
    <w:unhideWhenUsed/>
    <w:rsid w:val="008A3B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B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B6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194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5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56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2C6D"/>
    <w:rPr>
      <w:b/>
      <w:bCs/>
    </w:rPr>
  </w:style>
  <w:style w:type="character" w:customStyle="1" w:styleId="normaltextrun">
    <w:name w:val="normaltextrun"/>
    <w:basedOn w:val="DefaultParagraphFont"/>
    <w:rsid w:val="00A93A69"/>
  </w:style>
  <w:style w:type="character" w:customStyle="1" w:styleId="scxw139437613">
    <w:name w:val="scxw139437613"/>
    <w:basedOn w:val="DefaultParagraphFont"/>
    <w:rsid w:val="00A93A69"/>
  </w:style>
  <w:style w:type="character" w:styleId="UnresolvedMention">
    <w:name w:val="Unresolved Mention"/>
    <w:basedOn w:val="DefaultParagraphFont"/>
    <w:uiPriority w:val="99"/>
    <w:semiHidden/>
    <w:unhideWhenUsed/>
    <w:rsid w:val="0070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BF2E-F61E-427E-A089-535B3D94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17-05 Faculty Senate Resolution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17-05 Faculty Senate Resolution</dc:title>
  <dc:creator>Betsy</dc:creator>
  <cp:lastModifiedBy>Susannah V Knoll</cp:lastModifiedBy>
  <cp:revision>8</cp:revision>
  <cp:lastPrinted>2019-04-25T16:57:00Z</cp:lastPrinted>
  <dcterms:created xsi:type="dcterms:W3CDTF">2020-04-16T15:34:00Z</dcterms:created>
  <dcterms:modified xsi:type="dcterms:W3CDTF">2020-04-27T17:50:00Z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2019-03-22T00:00:00Z</vt:filetime>
  </property>
</Properties>
</file>