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268"/>
        <w:gridCol w:w="5670"/>
      </w:tblGrid>
      <w:tr w:rsidR="00B24920" w14:paraId="011C3C0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7EEE9FC" w14:textId="77777777" w:rsidR="00B24920" w:rsidRDefault="00B24920" w:rsidP="005834BD">
            <w:pPr>
              <w:pStyle w:val="NoSpacing"/>
              <w:rPr>
                <w:rFonts w:ascii="Times New Roman" w:hAnsi="Times New Roman"/>
                <w:sz w:val="20"/>
                <w:szCs w:val="20"/>
              </w:rPr>
            </w:pPr>
            <w:r>
              <w:t>Project ID</w:t>
            </w:r>
          </w:p>
        </w:tc>
        <w:tc>
          <w:tcPr>
            <w:tcW w:w="5670" w:type="dxa"/>
            <w:tcBorders>
              <w:top w:val="nil"/>
              <w:left w:val="nil"/>
              <w:bottom w:val="nil"/>
              <w:right w:val="nil"/>
            </w:tcBorders>
          </w:tcPr>
          <w:p w14:paraId="4393331A" w14:textId="77777777" w:rsidR="00B24920" w:rsidRDefault="00B24920" w:rsidP="005834BD">
            <w:pPr>
              <w:pStyle w:val="NoSpacing"/>
              <w:rPr>
                <w:rFonts w:ascii="Times New Roman" w:hAnsi="Times New Roman"/>
                <w:sz w:val="20"/>
                <w:szCs w:val="20"/>
              </w:rPr>
            </w:pPr>
            <w:r>
              <w:t>PJ000029</w:t>
            </w:r>
          </w:p>
        </w:tc>
      </w:tr>
      <w:tr w:rsidR="00B24920" w14:paraId="08F7C2C1"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33761E9" w14:textId="77777777" w:rsidR="00B24920" w:rsidRDefault="00B24920" w:rsidP="005834BD">
            <w:pPr>
              <w:pStyle w:val="NoSpacing"/>
              <w:rPr>
                <w:rFonts w:ascii="Times New Roman" w:hAnsi="Times New Roman"/>
                <w:sz w:val="20"/>
                <w:szCs w:val="20"/>
              </w:rPr>
            </w:pPr>
            <w:r>
              <w:t>Project Fiscal Year</w:t>
            </w:r>
          </w:p>
        </w:tc>
        <w:tc>
          <w:tcPr>
            <w:tcW w:w="5670" w:type="dxa"/>
            <w:tcBorders>
              <w:top w:val="nil"/>
              <w:left w:val="nil"/>
              <w:bottom w:val="nil"/>
              <w:right w:val="nil"/>
            </w:tcBorders>
          </w:tcPr>
          <w:p w14:paraId="6EB3F62B" w14:textId="77777777" w:rsidR="00B24920" w:rsidRDefault="00B24920" w:rsidP="005834BD">
            <w:pPr>
              <w:pStyle w:val="NoSpacing"/>
              <w:rPr>
                <w:rFonts w:ascii="Times New Roman" w:hAnsi="Times New Roman"/>
                <w:sz w:val="20"/>
                <w:szCs w:val="20"/>
              </w:rPr>
            </w:pPr>
            <w:r>
              <w:t>2023-2024</w:t>
            </w:r>
          </w:p>
        </w:tc>
      </w:tr>
      <w:tr w:rsidR="00B24920" w14:paraId="722F162C"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3F70A02" w14:textId="77777777" w:rsidR="00B24920" w:rsidRDefault="00B24920" w:rsidP="005834BD">
            <w:pPr>
              <w:pStyle w:val="NoSpacing"/>
              <w:rPr>
                <w:rFonts w:ascii="Times New Roman" w:hAnsi="Times New Roman"/>
                <w:sz w:val="20"/>
                <w:szCs w:val="20"/>
              </w:rPr>
            </w:pPr>
            <w:r>
              <w:t>College/Department/Unit</w:t>
            </w:r>
          </w:p>
        </w:tc>
        <w:tc>
          <w:tcPr>
            <w:tcW w:w="5670" w:type="dxa"/>
            <w:tcBorders>
              <w:top w:val="nil"/>
              <w:left w:val="nil"/>
              <w:bottom w:val="nil"/>
              <w:right w:val="nil"/>
            </w:tcBorders>
          </w:tcPr>
          <w:p w14:paraId="5747A26D" w14:textId="77777777" w:rsidR="00B24920" w:rsidRDefault="00B24920" w:rsidP="005834BD">
            <w:pPr>
              <w:pStyle w:val="NoSpacing"/>
              <w:rPr>
                <w:rFonts w:ascii="Times New Roman" w:hAnsi="Times New Roman"/>
                <w:sz w:val="20"/>
                <w:szCs w:val="20"/>
              </w:rPr>
            </w:pPr>
            <w:r>
              <w:t>Information Technology Services (ITS)</w:t>
            </w:r>
          </w:p>
        </w:tc>
      </w:tr>
      <w:tr w:rsidR="00B24920" w14:paraId="08752D43"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3728961" w14:textId="77777777" w:rsidR="00B24920" w:rsidRDefault="00B24920" w:rsidP="005834BD">
            <w:pPr>
              <w:pStyle w:val="NoSpacing"/>
              <w:rPr>
                <w:rFonts w:ascii="Times New Roman" w:hAnsi="Times New Roman"/>
                <w:sz w:val="20"/>
                <w:szCs w:val="20"/>
              </w:rPr>
            </w:pPr>
            <w:r>
              <w:t>Title of Project</w:t>
            </w:r>
          </w:p>
        </w:tc>
        <w:tc>
          <w:tcPr>
            <w:tcW w:w="5670" w:type="dxa"/>
            <w:tcBorders>
              <w:top w:val="nil"/>
              <w:left w:val="nil"/>
              <w:bottom w:val="nil"/>
              <w:right w:val="nil"/>
            </w:tcBorders>
          </w:tcPr>
          <w:p w14:paraId="2C0CF73A" w14:textId="77777777" w:rsidR="00B24920" w:rsidRDefault="00B24920" w:rsidP="005834BD">
            <w:pPr>
              <w:pStyle w:val="NoSpacing"/>
              <w:rPr>
                <w:rFonts w:ascii="Times New Roman" w:hAnsi="Times New Roman"/>
                <w:sz w:val="20"/>
                <w:szCs w:val="20"/>
              </w:rPr>
            </w:pPr>
            <w:r>
              <w:t>PJ000029 LSUAM | STF - Software and Subscription</w:t>
            </w:r>
          </w:p>
        </w:tc>
      </w:tr>
      <w:tr w:rsidR="00B24920" w14:paraId="6D0D8E70"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25617DE" w14:textId="77777777" w:rsidR="00B24920" w:rsidRDefault="00B24920" w:rsidP="005834BD">
            <w:pPr>
              <w:pStyle w:val="NoSpacing"/>
              <w:rPr>
                <w:rFonts w:ascii="Times New Roman" w:hAnsi="Times New Roman"/>
                <w:sz w:val="20"/>
                <w:szCs w:val="20"/>
              </w:rPr>
            </w:pPr>
            <w:r>
              <w:t>Name of Principle Implementor</w:t>
            </w:r>
          </w:p>
        </w:tc>
        <w:tc>
          <w:tcPr>
            <w:tcW w:w="5670" w:type="dxa"/>
            <w:tcBorders>
              <w:top w:val="nil"/>
              <w:left w:val="nil"/>
              <w:bottom w:val="nil"/>
              <w:right w:val="nil"/>
            </w:tcBorders>
          </w:tcPr>
          <w:p w14:paraId="0BDE5FCA" w14:textId="77777777" w:rsidR="00B24920" w:rsidRDefault="00B24920" w:rsidP="005834BD">
            <w:pPr>
              <w:pStyle w:val="NoSpacing"/>
              <w:rPr>
                <w:rFonts w:ascii="Times New Roman" w:hAnsi="Times New Roman"/>
                <w:sz w:val="20"/>
                <w:szCs w:val="20"/>
              </w:rPr>
            </w:pPr>
            <w:r>
              <w:t xml:space="preserve"> Ric Simmons</w:t>
            </w:r>
          </w:p>
        </w:tc>
      </w:tr>
      <w:tr w:rsidR="00B24920" w14:paraId="187BF8ED"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C1E5885" w14:textId="77777777" w:rsidR="00B24920" w:rsidRDefault="00B24920" w:rsidP="005834BD">
            <w:pPr>
              <w:pStyle w:val="NoSpacing"/>
              <w:rPr>
                <w:rFonts w:ascii="Times New Roman" w:hAnsi="Times New Roman"/>
                <w:sz w:val="20"/>
                <w:szCs w:val="20"/>
              </w:rPr>
            </w:pPr>
            <w:r>
              <w:t>Email</w:t>
            </w:r>
          </w:p>
        </w:tc>
        <w:tc>
          <w:tcPr>
            <w:tcW w:w="5670" w:type="dxa"/>
            <w:tcBorders>
              <w:top w:val="nil"/>
              <w:left w:val="nil"/>
              <w:bottom w:val="nil"/>
              <w:right w:val="nil"/>
            </w:tcBorders>
          </w:tcPr>
          <w:p w14:paraId="7336CDA4" w14:textId="77777777" w:rsidR="00B24920" w:rsidRDefault="00B24920" w:rsidP="005834BD">
            <w:pPr>
              <w:pStyle w:val="NoSpacing"/>
              <w:rPr>
                <w:rFonts w:ascii="Times New Roman" w:hAnsi="Times New Roman"/>
                <w:sz w:val="20"/>
                <w:szCs w:val="20"/>
              </w:rPr>
            </w:pPr>
            <w:r>
              <w:t>rsimmons@lsu.edu</w:t>
            </w:r>
          </w:p>
        </w:tc>
      </w:tr>
      <w:tr w:rsidR="00B24920" w14:paraId="15FB898F"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670968BF" w14:textId="77777777" w:rsidR="00B24920" w:rsidRDefault="00B24920" w:rsidP="005834BD">
            <w:pPr>
              <w:pStyle w:val="NoSpacing"/>
              <w:rPr>
                <w:rFonts w:ascii="Times New Roman" w:hAnsi="Times New Roman"/>
                <w:sz w:val="20"/>
                <w:szCs w:val="20"/>
              </w:rPr>
            </w:pPr>
            <w:r>
              <w:t>Phone Number</w:t>
            </w:r>
          </w:p>
        </w:tc>
        <w:tc>
          <w:tcPr>
            <w:tcW w:w="5670" w:type="dxa"/>
            <w:tcBorders>
              <w:top w:val="nil"/>
              <w:left w:val="nil"/>
              <w:bottom w:val="nil"/>
              <w:right w:val="nil"/>
            </w:tcBorders>
          </w:tcPr>
          <w:p w14:paraId="6F04609E" w14:textId="77777777" w:rsidR="00B24920" w:rsidRDefault="00B24920" w:rsidP="005834BD">
            <w:pPr>
              <w:pStyle w:val="NoSpacing"/>
              <w:rPr>
                <w:rFonts w:ascii="Times New Roman" w:hAnsi="Times New Roman"/>
                <w:sz w:val="20"/>
                <w:szCs w:val="20"/>
              </w:rPr>
            </w:pPr>
            <w:r>
              <w:t>(225) 578-5212</w:t>
            </w:r>
          </w:p>
        </w:tc>
      </w:tr>
      <w:tr w:rsidR="00B24920" w14:paraId="74D2CE8C"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6DD8E5AC" w14:textId="77777777" w:rsidR="00B24920" w:rsidRDefault="00B24920" w:rsidP="005834BD">
            <w:pPr>
              <w:pStyle w:val="NoSpacing"/>
              <w:rPr>
                <w:rFonts w:ascii="Times New Roman" w:hAnsi="Times New Roman"/>
                <w:sz w:val="20"/>
                <w:szCs w:val="20"/>
              </w:rPr>
            </w:pPr>
            <w:r>
              <w:t>Is this project complete?</w:t>
            </w:r>
          </w:p>
        </w:tc>
        <w:tc>
          <w:tcPr>
            <w:tcW w:w="5670" w:type="dxa"/>
            <w:tcBorders>
              <w:top w:val="nil"/>
              <w:left w:val="nil"/>
              <w:bottom w:val="nil"/>
              <w:right w:val="nil"/>
            </w:tcBorders>
          </w:tcPr>
          <w:p w14:paraId="34EFF690" w14:textId="77777777" w:rsidR="00B24920" w:rsidRDefault="00B24920" w:rsidP="005834BD">
            <w:pPr>
              <w:pStyle w:val="NoSpacing"/>
              <w:rPr>
                <w:rFonts w:ascii="Times New Roman" w:hAnsi="Times New Roman"/>
                <w:sz w:val="20"/>
                <w:szCs w:val="20"/>
              </w:rPr>
            </w:pPr>
            <w:r>
              <w:t>No</w:t>
            </w:r>
          </w:p>
        </w:tc>
      </w:tr>
      <w:tr w:rsidR="00B24920" w14:paraId="4F7E7697"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64AC1B3" w14:textId="77777777" w:rsidR="00B24920" w:rsidRDefault="00B24920" w:rsidP="005834BD">
            <w:pPr>
              <w:pStyle w:val="NoSpacing"/>
              <w:rPr>
                <w:rFonts w:ascii="Times New Roman" w:hAnsi="Times New Roman"/>
                <w:sz w:val="20"/>
                <w:szCs w:val="20"/>
              </w:rPr>
            </w:pPr>
            <w:r>
              <w:t>Is this account ready to be closed?</w:t>
            </w:r>
          </w:p>
        </w:tc>
        <w:tc>
          <w:tcPr>
            <w:tcW w:w="5670" w:type="dxa"/>
            <w:tcBorders>
              <w:top w:val="nil"/>
              <w:left w:val="nil"/>
              <w:bottom w:val="nil"/>
              <w:right w:val="nil"/>
            </w:tcBorders>
          </w:tcPr>
          <w:p w14:paraId="0CF5DF26" w14:textId="77777777" w:rsidR="00B24920" w:rsidRDefault="00B24920" w:rsidP="005834BD">
            <w:pPr>
              <w:pStyle w:val="NoSpacing"/>
              <w:rPr>
                <w:rFonts w:ascii="Times New Roman" w:hAnsi="Times New Roman"/>
                <w:sz w:val="20"/>
                <w:szCs w:val="20"/>
              </w:rPr>
            </w:pPr>
            <w:r>
              <w:t>No</w:t>
            </w:r>
          </w:p>
        </w:tc>
      </w:tr>
      <w:tr w:rsidR="00B24920" w14:paraId="6E655BBB"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1986B21" w14:textId="77777777" w:rsidR="00B24920" w:rsidRDefault="00B24920" w:rsidP="005834BD">
            <w:pPr>
              <w:pStyle w:val="NoSpacing"/>
              <w:rPr>
                <w:rFonts w:ascii="Times New Roman" w:hAnsi="Times New Roman"/>
                <w:sz w:val="20"/>
                <w:szCs w:val="20"/>
              </w:rPr>
            </w:pPr>
            <w:r>
              <w:t>Amount Awarded</w:t>
            </w:r>
          </w:p>
        </w:tc>
        <w:tc>
          <w:tcPr>
            <w:tcW w:w="5670" w:type="dxa"/>
            <w:tcBorders>
              <w:top w:val="nil"/>
              <w:left w:val="nil"/>
              <w:bottom w:val="nil"/>
              <w:right w:val="nil"/>
            </w:tcBorders>
          </w:tcPr>
          <w:p w14:paraId="0F529686" w14:textId="77777777" w:rsidR="00B24920" w:rsidRDefault="00B24920" w:rsidP="005834BD">
            <w:pPr>
              <w:pStyle w:val="NoSpacing"/>
              <w:rPr>
                <w:rFonts w:ascii="Times New Roman" w:hAnsi="Times New Roman"/>
                <w:sz w:val="20"/>
                <w:szCs w:val="20"/>
              </w:rPr>
            </w:pPr>
            <w:r>
              <w:t>$1,515,463.00</w:t>
            </w:r>
          </w:p>
        </w:tc>
      </w:tr>
      <w:tr w:rsidR="00B24920" w14:paraId="05CED48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17D18F5" w14:textId="77777777" w:rsidR="00B24920" w:rsidRDefault="00B24920" w:rsidP="005834BD">
            <w:pPr>
              <w:pStyle w:val="NoSpacing"/>
              <w:rPr>
                <w:rFonts w:ascii="Times New Roman" w:hAnsi="Times New Roman"/>
                <w:sz w:val="20"/>
                <w:szCs w:val="20"/>
              </w:rPr>
            </w:pPr>
            <w:r>
              <w:t>Amount Spent</w:t>
            </w:r>
          </w:p>
        </w:tc>
        <w:tc>
          <w:tcPr>
            <w:tcW w:w="5670" w:type="dxa"/>
            <w:tcBorders>
              <w:top w:val="nil"/>
              <w:left w:val="nil"/>
              <w:bottom w:val="nil"/>
              <w:right w:val="nil"/>
            </w:tcBorders>
          </w:tcPr>
          <w:p w14:paraId="77334AF0" w14:textId="77777777" w:rsidR="00B24920" w:rsidRDefault="00B24920" w:rsidP="005834BD">
            <w:pPr>
              <w:pStyle w:val="NoSpacing"/>
              <w:rPr>
                <w:rFonts w:ascii="Times New Roman" w:hAnsi="Times New Roman"/>
                <w:sz w:val="20"/>
                <w:szCs w:val="20"/>
              </w:rPr>
            </w:pPr>
            <w:r>
              <w:t>$1,397,853.19 * (anticipated after FY24 accruals)</w:t>
            </w:r>
          </w:p>
        </w:tc>
      </w:tr>
      <w:tr w:rsidR="00B24920" w14:paraId="70A61127"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6ABBCB8E" w14:textId="77777777" w:rsidR="00B24920" w:rsidRDefault="00B24920" w:rsidP="005834BD">
            <w:pPr>
              <w:pStyle w:val="NoSpacing"/>
              <w:rPr>
                <w:rFonts w:ascii="Times New Roman" w:hAnsi="Times New Roman"/>
                <w:sz w:val="20"/>
                <w:szCs w:val="20"/>
              </w:rPr>
            </w:pPr>
            <w:r>
              <w:t>Equipment</w:t>
            </w:r>
          </w:p>
        </w:tc>
        <w:tc>
          <w:tcPr>
            <w:tcW w:w="5670" w:type="dxa"/>
            <w:tcBorders>
              <w:top w:val="nil"/>
              <w:left w:val="nil"/>
              <w:bottom w:val="nil"/>
              <w:right w:val="nil"/>
            </w:tcBorders>
          </w:tcPr>
          <w:p w14:paraId="417CED3D" w14:textId="77777777" w:rsidR="00B24920" w:rsidRDefault="00B24920" w:rsidP="005834BD">
            <w:pPr>
              <w:pStyle w:val="NoSpacing"/>
              <w:rPr>
                <w:rFonts w:ascii="Times New Roman" w:hAnsi="Times New Roman"/>
                <w:sz w:val="20"/>
                <w:szCs w:val="20"/>
              </w:rPr>
            </w:pPr>
            <w:r>
              <w:t>N/A</w:t>
            </w:r>
          </w:p>
        </w:tc>
      </w:tr>
      <w:tr w:rsidR="00B24920" w14:paraId="3F233EC9"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DECF6C3" w14:textId="77777777" w:rsidR="00B24920" w:rsidRDefault="00B24920" w:rsidP="005834BD">
            <w:pPr>
              <w:pStyle w:val="NoSpacing"/>
              <w:rPr>
                <w:rFonts w:ascii="Times New Roman" w:hAnsi="Times New Roman"/>
                <w:sz w:val="20"/>
                <w:szCs w:val="20"/>
              </w:rPr>
            </w:pPr>
            <w:r>
              <w:t>Purpose</w:t>
            </w:r>
          </w:p>
        </w:tc>
        <w:tc>
          <w:tcPr>
            <w:tcW w:w="5670" w:type="dxa"/>
            <w:tcBorders>
              <w:top w:val="nil"/>
              <w:left w:val="nil"/>
              <w:bottom w:val="nil"/>
              <w:right w:val="nil"/>
            </w:tcBorders>
          </w:tcPr>
          <w:p w14:paraId="76C35866" w14:textId="77777777" w:rsidR="00B24920" w:rsidRDefault="00B24920" w:rsidP="005834BD">
            <w:pPr>
              <w:pStyle w:val="NoSpacing"/>
              <w:rPr>
                <w:rFonts w:ascii="Times New Roman" w:hAnsi="Times New Roman"/>
                <w:sz w:val="20"/>
                <w:szCs w:val="20"/>
              </w:rPr>
            </w:pPr>
            <w:r>
              <w:t xml:space="preserve">STF software funds support technologies that benefit the student's learning experience. This includes funding for campus-wide software, where costs are based on market fluctuations and licensing agreements, and concurrent software, where costs depend on the number of users accessing the program, market fluctuations, and provider agreements. These software programs cover a range of functions, including virtual academic support, complex data analysis, and discipline-specific technology support. </w:t>
            </w:r>
          </w:p>
        </w:tc>
      </w:tr>
      <w:tr w:rsidR="00B24920" w14:paraId="6DF58EFA"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62C7711" w14:textId="77777777" w:rsidR="00B24920" w:rsidRDefault="00B24920" w:rsidP="005834BD">
            <w:pPr>
              <w:pStyle w:val="NoSpacing"/>
              <w:rPr>
                <w:rFonts w:ascii="Times New Roman" w:hAnsi="Times New Roman"/>
                <w:sz w:val="20"/>
                <w:szCs w:val="20"/>
              </w:rPr>
            </w:pPr>
            <w:r>
              <w:t>Benefits Demographics</w:t>
            </w:r>
          </w:p>
        </w:tc>
        <w:tc>
          <w:tcPr>
            <w:tcW w:w="5670" w:type="dxa"/>
            <w:tcBorders>
              <w:top w:val="nil"/>
              <w:left w:val="nil"/>
              <w:bottom w:val="nil"/>
              <w:right w:val="nil"/>
            </w:tcBorders>
          </w:tcPr>
          <w:p w14:paraId="32E09D0B" w14:textId="77777777" w:rsidR="00B24920" w:rsidRDefault="00B24920" w:rsidP="005834BD">
            <w:pPr>
              <w:pStyle w:val="NoSpacing"/>
              <w:rPr>
                <w:rFonts w:ascii="Times New Roman" w:hAnsi="Times New Roman"/>
                <w:sz w:val="20"/>
                <w:szCs w:val="20"/>
              </w:rPr>
            </w:pPr>
            <w:r>
              <w:t xml:space="preserve">STF-funded software allows for students and faculty to avoid an additional burden for necessary software in the classroom. With enterprise licensing, ITS reduces the total purchase cost, freeing up departmental funds and individual student incomes for other uses. In FY24, ITS was excited to announce that STF had approved funding a portion of students to receive and use Adobe Creative Cloud licenses, which had been a request by the student body for many years; students are allocated licenses based on documented class or work needs. </w:t>
            </w:r>
          </w:p>
        </w:tc>
      </w:tr>
      <w:tr w:rsidR="00B24920" w14:paraId="2DB3C869"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07B00D0" w14:textId="77777777" w:rsidR="00B24920" w:rsidRDefault="00B24920" w:rsidP="005834BD">
            <w:pPr>
              <w:pStyle w:val="NoSpacing"/>
              <w:rPr>
                <w:rFonts w:ascii="Times New Roman" w:hAnsi="Times New Roman"/>
                <w:sz w:val="20"/>
                <w:szCs w:val="20"/>
              </w:rPr>
            </w:pPr>
            <w:r>
              <w:lastRenderedPageBreak/>
              <w:t>Justification (if an extension is requested)</w:t>
            </w:r>
          </w:p>
        </w:tc>
        <w:tc>
          <w:tcPr>
            <w:tcW w:w="5670" w:type="dxa"/>
            <w:tcBorders>
              <w:top w:val="nil"/>
              <w:left w:val="nil"/>
              <w:bottom w:val="nil"/>
              <w:right w:val="nil"/>
            </w:tcBorders>
          </w:tcPr>
          <w:p w14:paraId="09DAE5EF" w14:textId="77777777" w:rsidR="00B24920" w:rsidRDefault="00B24920" w:rsidP="005834BD">
            <w:pPr>
              <w:pStyle w:val="NoSpacing"/>
              <w:rPr>
                <w:rFonts w:ascii="Times New Roman" w:hAnsi="Times New Roman"/>
                <w:sz w:val="20"/>
                <w:szCs w:val="20"/>
              </w:rPr>
            </w:pPr>
            <w:r>
              <w:t>LabStats and Labview are expected to be paid via FY24 accrual; these invoices have not been processed for payment yet, but all expenses are either paid or encumbered as of 6/30/24.</w:t>
            </w:r>
          </w:p>
        </w:tc>
      </w:tr>
    </w:tbl>
    <w:p w14:paraId="651C272A" w14:textId="77777777" w:rsidR="00B24920" w:rsidRDefault="00B24920"/>
    <w:sectPr w:rsidR="00B24920">
      <w:pgSz w:w="12242" w:h="15842"/>
      <w:pgMar w:top="567" w:right="1701" w:bottom="1134"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129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BD"/>
    <w:rsid w:val="005834BD"/>
    <w:rsid w:val="005D2E11"/>
    <w:rsid w:val="0082714B"/>
    <w:rsid w:val="00B2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47BD9"/>
  <w14:defaultImageDpi w14:val="0"/>
  <w15:docId w15:val="{936C22B6-4203-4CF3-AE28-FFE33864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4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1504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 Marshall</dc:creator>
  <cp:keywords/>
  <dc:description/>
  <cp:lastModifiedBy>Amanda K Marshall</cp:lastModifiedBy>
  <cp:revision>2</cp:revision>
  <dcterms:created xsi:type="dcterms:W3CDTF">2024-10-31T19:11:00Z</dcterms:created>
  <dcterms:modified xsi:type="dcterms:W3CDTF">2024-10-31T19:11:00Z</dcterms:modified>
</cp:coreProperties>
</file>