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382B9E">
        <w:rPr>
          <w:rFonts w:ascii="Arial" w:hAnsi="Arial" w:cs="Arial"/>
          <w:color w:val="000000"/>
          <w:sz w:val="20"/>
          <w:szCs w:val="20"/>
        </w:rPr>
        <w:t>February 28, 2018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382B9E" w:rsidRDefault="00382B9E" w:rsidP="00382B9E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Jane Cassidy, Tommy Smith, Mette Gaarde, Sheri Thompson (proxy for Andrea Ballinger), Camille Faircloth (proxy for Jason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David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Trepagnier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Jr (proxy for Jimmy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Mickler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Aaron Harrington, Erica Borne, Ashton Vaughn and </w:t>
      </w:r>
      <w:r w:rsidR="0020703A">
        <w:rPr>
          <w:rFonts w:ascii="Arial" w:hAnsi="Arial" w:cs="Arial"/>
          <w:color w:val="000000"/>
          <w:sz w:val="20"/>
          <w:szCs w:val="20"/>
        </w:rPr>
        <w:t xml:space="preserve">Jonathon Price (proxy for </w:t>
      </w:r>
      <w:r>
        <w:rPr>
          <w:rFonts w:ascii="Arial" w:hAnsi="Arial" w:cs="Arial"/>
          <w:color w:val="000000"/>
          <w:sz w:val="20"/>
          <w:szCs w:val="20"/>
        </w:rPr>
        <w:t>Rene Petit</w:t>
      </w:r>
      <w:r w:rsidR="0020703A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2B9E" w:rsidRPr="0029044D" w:rsidRDefault="00382B9E" w:rsidP="00382B9E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382B9E" w:rsidP="002D4718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Kurt Keppler, Brian Antie, Tyler Kearney, Heather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Slagall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John Duplantis, Aimee Riggs and Amanda Marshall.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DE75C3" w:rsidRDefault="009B6070" w:rsidP="00DE75C3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382B9E">
        <w:rPr>
          <w:rFonts w:ascii="Arial" w:hAnsi="Arial" w:cs="Arial"/>
          <w:color w:val="000000"/>
          <w:sz w:val="20"/>
          <w:szCs w:val="20"/>
        </w:rPr>
        <w:t>February 7, 2018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Pr="0029044D" w:rsidRDefault="00DE75C3" w:rsidP="002D4718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 Specific Proposal Rankings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4644A0">
        <w:rPr>
          <w:rFonts w:ascii="Arial" w:hAnsi="Arial" w:cs="Arial"/>
          <w:color w:val="000000"/>
          <w:sz w:val="20"/>
          <w:szCs w:val="20"/>
        </w:rPr>
        <w:t>3:00</w:t>
      </w:r>
      <w:r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29044D" w:rsidRDefault="00B73054" w:rsidP="002D4718">
      <w:pPr>
        <w:numPr>
          <w:ilvl w:val="0"/>
          <w:numId w:val="1"/>
        </w:numPr>
        <w:spacing w:after="120"/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Old Business.</w:t>
      </w:r>
    </w:p>
    <w:p w:rsidR="00372162" w:rsidRPr="0029044D" w:rsidRDefault="00177637" w:rsidP="00177637">
      <w:pPr>
        <w:ind w:left="36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4644A0" w:rsidP="00DE75C3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382B9E" w:rsidRPr="00382B9E">
        <w:rPr>
          <w:rFonts w:ascii="Arial" w:hAnsi="Arial" w:cs="Arial"/>
          <w:b/>
          <w:color w:val="000000"/>
          <w:sz w:val="20"/>
          <w:szCs w:val="20"/>
        </w:rPr>
        <w:t>February 7, 2018</w:t>
      </w:r>
      <w:r w:rsidR="00382B9E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 w:rsidRPr="00DE75C3">
        <w:rPr>
          <w:rFonts w:ascii="Arial" w:hAnsi="Arial" w:cs="Arial"/>
          <w:b/>
          <w:bCs/>
          <w:color w:val="000000"/>
          <w:sz w:val="20"/>
          <w:szCs w:val="20"/>
        </w:rPr>
        <w:t xml:space="preserve">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382B9E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Camille Faircloth</w:t>
      </w:r>
      <w:r w:rsidR="00175B83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Erica Borne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seconded the motion.</w:t>
      </w:r>
      <w:r w:rsidR="00F06737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>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DE75C3">
        <w:rPr>
          <w:rFonts w:ascii="Arial" w:hAnsi="Arial" w:cs="Arial"/>
          <w:b/>
          <w:bCs/>
          <w:color w:val="000000"/>
          <w:sz w:val="20"/>
          <w:szCs w:val="20"/>
        </w:rPr>
        <w:t>Discipline Specific Proposal Discussion</w:t>
      </w:r>
    </w:p>
    <w:p w:rsidR="000C41E0" w:rsidRDefault="000E4B22" w:rsidP="000C41E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committee discussed </w:t>
      </w:r>
      <w:r w:rsidR="003B526D">
        <w:rPr>
          <w:rFonts w:ascii="Arial" w:hAnsi="Arial" w:cs="Arial"/>
          <w:sz w:val="20"/>
          <w:szCs w:val="20"/>
        </w:rPr>
        <w:t>14 of the 27</w:t>
      </w:r>
      <w:r>
        <w:rPr>
          <w:rFonts w:ascii="Arial" w:hAnsi="Arial" w:cs="Arial"/>
          <w:sz w:val="20"/>
          <w:szCs w:val="20"/>
        </w:rPr>
        <w:t xml:space="preserve"> discipline specific proposals, beginning with the proposals receiving the highest ranking by committee members.</w:t>
      </w:r>
      <w:r w:rsidR="00F06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After discussing individual proposals, as well as the overall distribution of the funds, the following </w:t>
      </w:r>
      <w:r w:rsidR="001E59F4">
        <w:rPr>
          <w:rFonts w:ascii="Arial" w:hAnsi="Arial" w:cs="Arial"/>
          <w:sz w:val="20"/>
          <w:szCs w:val="20"/>
        </w:rPr>
        <w:t>decisions were made:</w:t>
      </w:r>
      <w:r w:rsidR="000C41E0">
        <w:rPr>
          <w:rFonts w:ascii="Arial" w:hAnsi="Arial" w:cs="Arial"/>
          <w:sz w:val="20"/>
          <w:szCs w:val="20"/>
        </w:rPr>
        <w:br w:type="page"/>
      </w:r>
    </w:p>
    <w:p w:rsidR="000C41E0" w:rsidRDefault="000C41E0" w:rsidP="002A36FA">
      <w:pPr>
        <w:ind w:left="720"/>
        <w:rPr>
          <w:rFonts w:ascii="Arial" w:hAnsi="Arial" w:cs="Arial"/>
          <w:sz w:val="20"/>
          <w:szCs w:val="20"/>
        </w:rPr>
        <w:sectPr w:rsidR="000C41E0" w:rsidSect="000C41E0">
          <w:headerReference w:type="default" r:id="rId8"/>
          <w:footerReference w:type="default" r:id="rId9"/>
          <w:pgSz w:w="12240" w:h="15840"/>
          <w:pgMar w:top="1440" w:right="1440" w:bottom="720" w:left="1440" w:header="720" w:footer="288" w:gutter="0"/>
          <w:cols w:space="720"/>
          <w:docGrid w:linePitch="360"/>
        </w:sectPr>
      </w:pPr>
    </w:p>
    <w:p w:rsidR="00F80620" w:rsidRDefault="00F80620" w:rsidP="002A36FA">
      <w:p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  <w:tblCaption w:val="List of STF projects discussed, listed by rank, name, department, &amp; amount"/>
      </w:tblPr>
      <w:tblGrid>
        <w:gridCol w:w="980"/>
        <w:gridCol w:w="1723"/>
        <w:gridCol w:w="1977"/>
        <w:gridCol w:w="967"/>
        <w:gridCol w:w="1310"/>
        <w:gridCol w:w="1494"/>
        <w:gridCol w:w="1494"/>
        <w:gridCol w:w="3725"/>
      </w:tblGrid>
      <w:tr w:rsidR="00F80620" w:rsidTr="002D4718">
        <w:trPr>
          <w:trHeight w:val="495"/>
          <w:tblHeader/>
        </w:trPr>
        <w:tc>
          <w:tcPr>
            <w:tcW w:w="301" w:type="pct"/>
            <w:hideMark/>
          </w:tcPr>
          <w:p w:rsidR="00F80620" w:rsidRDefault="00F8062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Combined Ranking</w:t>
            </w:r>
          </w:p>
        </w:tc>
        <w:tc>
          <w:tcPr>
            <w:tcW w:w="995" w:type="pct"/>
            <w:noWrap/>
            <w:hideMark/>
          </w:tcPr>
          <w:p w:rsidR="00F80620" w:rsidRDefault="00F8062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Project Description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Department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Est Cost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Approved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Amt</w:t>
            </w:r>
            <w:proofErr w:type="spellEnd"/>
          </w:p>
        </w:tc>
        <w:tc>
          <w:tcPr>
            <w:tcW w:w="443" w:type="pct"/>
            <w:noWrap/>
            <w:hideMark/>
          </w:tcPr>
          <w:p w:rsidR="00F80620" w:rsidRDefault="000C41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Motion </w:t>
            </w:r>
            <w:r w:rsidR="00F806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418" w:type="pct"/>
            <w:noWrap/>
            <w:hideMark/>
          </w:tcPr>
          <w:p w:rsidR="00F80620" w:rsidRDefault="000C41E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Motion </w:t>
            </w:r>
            <w:r w:rsidR="00F806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Second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Opposed</w:t>
            </w: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Physics &amp; Astronomy (Enhancement of Lecture Demonstration &amp; Teaching Lab)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$30,782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$30,782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Sheri Thompson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Tommy Smith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Disability Services (Disability Services Computer-Based Testing)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Student Affairs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$66,800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$66,800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Aaron Harrington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Trepagnier</w:t>
            </w:r>
            <w:proofErr w:type="spellEnd"/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Interdepartmental (Digital Agriculture Laboratory)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Agriculture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$68,981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$68,981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Trepagnier</w:t>
            </w:r>
            <w:proofErr w:type="spellEnd"/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Interdepartmental (The Mixed Reality Garage - Art &amp; Design Labs)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Art &amp; Design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$116,551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$116,551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Aaron Harrington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Trepagnier</w:t>
            </w:r>
            <w:proofErr w:type="spellEnd"/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73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Communication Sciences &amp; Disorders (Updating Tech in Classroom &amp; Clinical Practice)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HSS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$45,692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$45,692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Mette Gaarde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 w:rsidP="00D64A9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Mechanical &amp; Industrial Engineering (LSU Robotics = Engineering + Art + Design)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$78,025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Aaron Harrington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Jonathon Price</w:t>
            </w:r>
          </w:p>
        </w:tc>
        <w:tc>
          <w:tcPr>
            <w:tcW w:w="1727" w:type="pct"/>
            <w:noWrap/>
            <w:hideMark/>
          </w:tcPr>
          <w:p w:rsidR="001E59F4" w:rsidRDefault="001E59F4" w:rsidP="001E59F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Trepa</w:t>
            </w:r>
            <w:r w:rsidR="0020703A">
              <w:rPr>
                <w:rFonts w:ascii="Calibri" w:hAnsi="Calibri"/>
                <w:color w:val="000000"/>
                <w:sz w:val="18"/>
                <w:szCs w:val="18"/>
              </w:rPr>
              <w:t>g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nier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, Erica Borne, &amp;</w:t>
            </w:r>
          </w:p>
          <w:p w:rsidR="00F80620" w:rsidRDefault="001E59F4" w:rsidP="001E59F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Sheri Thompson</w:t>
            </w: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1E59F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  <w:r w:rsidR="00F80620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Interdepartmental (Towards the Next Generation of Active Classrooms)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$64,000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Camille Faircloth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Information Technology (Replace Computers in Student Computer Lab)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Business Administration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$64,576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$64,576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Trepagnier</w:t>
            </w:r>
            <w:proofErr w:type="spellEnd"/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300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Music (CMDA 21st Century Labs)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Music &amp; Dramatic Arts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$87,087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$87,087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Aaron Harrington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1E59F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**</w:t>
            </w:r>
            <w:r w:rsidR="00F80620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Center for Academic Success (Online Tutoring for LSU Students)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Student Affairs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$20,000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$20,000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Jonathon Price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Chemistry (Benchtop NMReady-60Pro Spectrometers)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$120,000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$120,000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Aaron Harrington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Education (Communicator Classrooms &amp; Resource Lab)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HSE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$145,153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Camille Faircloth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Aaron Harrington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</w:tr>
      <w:tr w:rsidR="00F80620" w:rsidTr="002D4718">
        <w:trPr>
          <w:trHeight w:val="495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Theatre (Digital Technologies for Entertainment)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Music &amp; Dramatic Arts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$60,907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$60,907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Camille Faircloth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80620" w:rsidTr="002D4718">
        <w:trPr>
          <w:trHeight w:val="602"/>
        </w:trPr>
        <w:tc>
          <w:tcPr>
            <w:tcW w:w="301" w:type="pct"/>
            <w:noWrap/>
            <w:hideMark/>
          </w:tcPr>
          <w:p w:rsidR="00F80620" w:rsidRDefault="00F806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pct"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Technology Initiatives (Middleton Library Digital Signage)</w:t>
            </w:r>
          </w:p>
        </w:tc>
        <w:tc>
          <w:tcPr>
            <w:tcW w:w="476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Libraries</w:t>
            </w:r>
          </w:p>
        </w:tc>
        <w:tc>
          <w:tcPr>
            <w:tcW w:w="264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$20,810</w:t>
            </w:r>
          </w:p>
        </w:tc>
        <w:tc>
          <w:tcPr>
            <w:tcW w:w="375" w:type="pct"/>
            <w:noWrap/>
            <w:hideMark/>
          </w:tcPr>
          <w:p w:rsidR="00F80620" w:rsidRDefault="00F8062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$30,800</w:t>
            </w:r>
          </w:p>
        </w:tc>
        <w:tc>
          <w:tcPr>
            <w:tcW w:w="443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Erica Borne</w:t>
            </w:r>
          </w:p>
        </w:tc>
        <w:tc>
          <w:tcPr>
            <w:tcW w:w="418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Camille Faircloth</w:t>
            </w:r>
          </w:p>
        </w:tc>
        <w:tc>
          <w:tcPr>
            <w:tcW w:w="1727" w:type="pct"/>
            <w:noWrap/>
            <w:hideMark/>
          </w:tcPr>
          <w:p w:rsidR="00F80620" w:rsidRDefault="00F806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bookmarkEnd w:id="0"/>
    </w:tbl>
    <w:p w:rsidR="00F80620" w:rsidRDefault="00F80620" w:rsidP="002A36FA">
      <w:pPr>
        <w:ind w:left="720"/>
        <w:rPr>
          <w:rFonts w:ascii="Arial" w:hAnsi="Arial" w:cs="Arial"/>
          <w:sz w:val="20"/>
          <w:szCs w:val="20"/>
        </w:rPr>
      </w:pPr>
    </w:p>
    <w:p w:rsidR="00F80620" w:rsidRDefault="00F80620" w:rsidP="002A36FA">
      <w:pPr>
        <w:ind w:left="720"/>
        <w:rPr>
          <w:rFonts w:ascii="Arial" w:hAnsi="Arial" w:cs="Arial"/>
          <w:sz w:val="20"/>
          <w:szCs w:val="20"/>
        </w:rPr>
      </w:pPr>
    </w:p>
    <w:p w:rsidR="00F80620" w:rsidRDefault="002D4718" w:rsidP="002D47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*- Provide Feedback </w:t>
      </w:r>
    </w:p>
    <w:p w:rsidR="002D4718" w:rsidRPr="002D4718" w:rsidRDefault="002D4718" w:rsidP="002D47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**- STF will not be funding this in the future</w:t>
      </w:r>
    </w:p>
    <w:p w:rsidR="00253E8A" w:rsidRDefault="00253E8A" w:rsidP="002A36FA">
      <w:pPr>
        <w:ind w:left="720"/>
        <w:rPr>
          <w:rFonts w:ascii="Arial" w:hAnsi="Arial" w:cs="Arial"/>
          <w:sz w:val="20"/>
          <w:szCs w:val="20"/>
        </w:rPr>
      </w:pPr>
    </w:p>
    <w:p w:rsidR="000C41E0" w:rsidRDefault="000C41E0" w:rsidP="0020703A">
      <w:pPr>
        <w:rPr>
          <w:rFonts w:ascii="Arial" w:hAnsi="Arial" w:cs="Arial"/>
          <w:sz w:val="20"/>
          <w:szCs w:val="20"/>
        </w:rPr>
        <w:sectPr w:rsidR="000C41E0" w:rsidSect="00F80620">
          <w:pgSz w:w="15840" w:h="12240" w:orient="landscape"/>
          <w:pgMar w:top="1440" w:right="1440" w:bottom="1440" w:left="720" w:header="720" w:footer="288" w:gutter="0"/>
          <w:cols w:space="720"/>
          <w:docGrid w:linePitch="360"/>
        </w:sectPr>
      </w:pPr>
    </w:p>
    <w:p w:rsidR="002A36FA" w:rsidRDefault="002A36FA" w:rsidP="00207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total of these </w:t>
      </w:r>
      <w:r w:rsidR="003B526D">
        <w:rPr>
          <w:rFonts w:ascii="Arial" w:hAnsi="Arial" w:cs="Arial"/>
          <w:sz w:val="20"/>
          <w:szCs w:val="20"/>
        </w:rPr>
        <w:t>11</w:t>
      </w:r>
      <w:r w:rsidR="00F06737">
        <w:rPr>
          <w:rFonts w:ascii="Arial" w:hAnsi="Arial" w:cs="Arial"/>
          <w:sz w:val="20"/>
          <w:szCs w:val="20"/>
        </w:rPr>
        <w:t xml:space="preserve"> </w:t>
      </w:r>
      <w:r w:rsidR="008B6FE8">
        <w:rPr>
          <w:rFonts w:ascii="Arial" w:hAnsi="Arial" w:cs="Arial"/>
          <w:sz w:val="20"/>
          <w:szCs w:val="20"/>
        </w:rPr>
        <w:t xml:space="preserve">projects </w:t>
      </w:r>
      <w:r>
        <w:rPr>
          <w:rFonts w:ascii="Arial" w:hAnsi="Arial" w:cs="Arial"/>
          <w:sz w:val="20"/>
          <w:szCs w:val="20"/>
        </w:rPr>
        <w:t>is $</w:t>
      </w:r>
      <w:r w:rsidR="003B526D">
        <w:rPr>
          <w:rFonts w:ascii="Arial" w:hAnsi="Arial" w:cs="Arial"/>
          <w:sz w:val="20"/>
          <w:szCs w:val="20"/>
        </w:rPr>
        <w:t>712,176</w:t>
      </w:r>
      <w:r w:rsidR="000C41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committee expects </w:t>
      </w:r>
      <w:r w:rsidR="000C41E0">
        <w:rPr>
          <w:rFonts w:ascii="Arial" w:hAnsi="Arial" w:cs="Arial"/>
          <w:sz w:val="20"/>
          <w:szCs w:val="20"/>
        </w:rPr>
        <w:t>to approve $850,000 - $950,000, leaving a remaining balance $137,824 to 237,824.</w:t>
      </w:r>
    </w:p>
    <w:p w:rsidR="000248C9" w:rsidRDefault="000248C9" w:rsidP="000248C9">
      <w:pPr>
        <w:ind w:left="360"/>
        <w:rPr>
          <w:rFonts w:ascii="Arial" w:hAnsi="Arial" w:cs="Arial"/>
          <w:b/>
          <w:sz w:val="20"/>
          <w:szCs w:val="20"/>
        </w:rPr>
      </w:pPr>
    </w:p>
    <w:p w:rsidR="00420A22" w:rsidRDefault="00420A22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9A6B33" w:rsidRPr="009A6B33" w:rsidRDefault="002D4718" w:rsidP="002D4718">
      <w:pPr>
        <w:pStyle w:val="ListParagraph"/>
        <w:spacing w:before="12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7C211E">
        <w:rPr>
          <w:rFonts w:ascii="Arial" w:hAnsi="Arial" w:cs="Arial"/>
          <w:sz w:val="20"/>
          <w:szCs w:val="20"/>
        </w:rPr>
        <w:t>March 14, 2018 3:00-4:30</w:t>
      </w:r>
    </w:p>
    <w:p w:rsidR="008C3776" w:rsidRDefault="008C3776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0C41E0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David </w:t>
      </w:r>
      <w:proofErr w:type="spellStart"/>
      <w:r>
        <w:rPr>
          <w:rFonts w:ascii="Arial" w:hAnsi="Arial" w:cs="Arial"/>
          <w:sz w:val="20"/>
          <w:szCs w:val="20"/>
        </w:rPr>
        <w:t>Trepagnier</w:t>
      </w:r>
      <w:proofErr w:type="spellEnd"/>
      <w:r w:rsidR="00A11374">
        <w:rPr>
          <w:rFonts w:ascii="Arial" w:hAnsi="Arial" w:cs="Arial"/>
          <w:sz w:val="20"/>
          <w:szCs w:val="20"/>
        </w:rPr>
        <w:t xml:space="preserve"> </w:t>
      </w:r>
      <w:r w:rsidR="006214FF" w:rsidRPr="00EA5931">
        <w:rPr>
          <w:rFonts w:ascii="Arial" w:hAnsi="Arial" w:cs="Arial"/>
          <w:sz w:val="20"/>
          <w:szCs w:val="20"/>
        </w:rPr>
        <w:t>motioned to adjourn;</w:t>
      </w:r>
      <w:r w:rsidR="009A6B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Aaron Harrington</w:t>
      </w:r>
      <w:r w:rsidR="006214FF" w:rsidRPr="00EA5931">
        <w:rPr>
          <w:rFonts w:ascii="Arial" w:hAnsi="Arial" w:cs="Arial"/>
          <w:sz w:val="20"/>
          <w:szCs w:val="20"/>
        </w:rPr>
        <w:t xml:space="preserve"> seconded the motion.  The motion was unanimously </w:t>
      </w:r>
      <w:r w:rsidR="006214FF">
        <w:rPr>
          <w:rFonts w:ascii="Arial" w:hAnsi="Arial" w:cs="Arial"/>
          <w:sz w:val="20"/>
          <w:szCs w:val="20"/>
        </w:rPr>
        <w:t>a</w:t>
      </w:r>
      <w:r w:rsidR="006214FF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6214FF">
        <w:rPr>
          <w:rFonts w:ascii="Arial" w:hAnsi="Arial" w:cs="Arial"/>
          <w:sz w:val="20"/>
          <w:szCs w:val="20"/>
        </w:rPr>
        <w:t xml:space="preserve">adjourned at approximately </w:t>
      </w:r>
      <w:r>
        <w:rPr>
          <w:rFonts w:ascii="Arial" w:hAnsi="Arial" w:cs="Arial"/>
          <w:sz w:val="20"/>
          <w:szCs w:val="20"/>
        </w:rPr>
        <w:t>4:30</w:t>
      </w:r>
      <w:r w:rsidR="006214FF">
        <w:rPr>
          <w:rFonts w:ascii="Arial" w:hAnsi="Arial" w:cs="Arial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>Student Representatives: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Minutes recorded by </w:t>
      </w:r>
      <w:r w:rsidR="00EA51C6">
        <w:rPr>
          <w:rFonts w:ascii="Arial" w:hAnsi="Arial" w:cs="Arial"/>
          <w:i/>
          <w:sz w:val="14"/>
          <w:szCs w:val="16"/>
        </w:rPr>
        <w:t>Amanda Marshall</w:t>
      </w:r>
    </w:p>
    <w:sectPr w:rsidR="00F56A82" w:rsidRPr="00F56A82" w:rsidSect="000C41E0"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0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382B9E">
      <w:rPr>
        <w:rFonts w:ascii="Arial" w:hAnsi="Arial" w:cs="Arial"/>
        <w:sz w:val="18"/>
        <w:szCs w:val="18"/>
      </w:rPr>
      <w:t>February 28, 2018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772C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48C9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185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1E0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4B22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510D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B83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E59F4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03A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1D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3E8A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36FA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5"/>
    <w:rsid w:val="002C6A76"/>
    <w:rsid w:val="002C7956"/>
    <w:rsid w:val="002C7BCC"/>
    <w:rsid w:val="002C7D60"/>
    <w:rsid w:val="002D1A33"/>
    <w:rsid w:val="002D303B"/>
    <w:rsid w:val="002D30AE"/>
    <w:rsid w:val="002D45DB"/>
    <w:rsid w:val="002D4718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4EB8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2B9E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26D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0A22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44A0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A74A7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4F0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4FF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11E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B6FE8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6B33"/>
    <w:rsid w:val="009A7D7D"/>
    <w:rsid w:val="009A7E72"/>
    <w:rsid w:val="009B2D25"/>
    <w:rsid w:val="009B387F"/>
    <w:rsid w:val="009B553D"/>
    <w:rsid w:val="009B6070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374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5013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A6891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276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54C1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2062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4A9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2337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5C3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597E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1C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06737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1EDE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660D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0620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25DF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1715A0F6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table" w:styleId="TableGridLight">
    <w:name w:val="Grid Table Light"/>
    <w:basedOn w:val="TableNormal"/>
    <w:uiPriority w:val="40"/>
    <w:rsid w:val="002D47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C7BA-9D22-4447-A2D1-66269FEC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549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8</cp:revision>
  <cp:lastPrinted>2015-11-17T21:39:00Z</cp:lastPrinted>
  <dcterms:created xsi:type="dcterms:W3CDTF">2018-03-12T18:20:00Z</dcterms:created>
  <dcterms:modified xsi:type="dcterms:W3CDTF">2019-10-09T21:04:00Z</dcterms:modified>
</cp:coreProperties>
</file>