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827492">
        <w:rPr>
          <w:rFonts w:ascii="Arial" w:hAnsi="Arial" w:cs="Arial"/>
          <w:color w:val="000000"/>
          <w:sz w:val="20"/>
          <w:szCs w:val="20"/>
        </w:rPr>
        <w:t>November</w:t>
      </w:r>
      <w:r w:rsidR="00813167">
        <w:rPr>
          <w:rFonts w:ascii="Arial" w:hAnsi="Arial" w:cs="Arial"/>
          <w:color w:val="000000"/>
          <w:sz w:val="20"/>
          <w:szCs w:val="20"/>
        </w:rPr>
        <w:t xml:space="preserve"> 14</w:t>
      </w:r>
      <w:r w:rsidR="001909DD">
        <w:rPr>
          <w:rFonts w:ascii="Arial" w:hAnsi="Arial" w:cs="Arial"/>
          <w:color w:val="000000"/>
          <w:sz w:val="20"/>
          <w:szCs w:val="20"/>
        </w:rPr>
        <w:t>, 201</w:t>
      </w:r>
      <w:r w:rsidR="00813167">
        <w:rPr>
          <w:rFonts w:ascii="Arial" w:hAnsi="Arial" w:cs="Arial"/>
          <w:color w:val="000000"/>
          <w:sz w:val="20"/>
          <w:szCs w:val="20"/>
        </w:rPr>
        <w:t>8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813167" w:rsidRDefault="00813167" w:rsidP="00827492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827492">
        <w:rPr>
          <w:rFonts w:ascii="Arial" w:hAnsi="Arial" w:cs="Arial"/>
          <w:color w:val="000000"/>
          <w:sz w:val="20"/>
          <w:szCs w:val="20"/>
        </w:rPr>
        <w:t xml:space="preserve">Jane Cassidy, Tommy Smith, Mette Gaarde, Sheri Thompson (proxy for Andrea Ballinger), Stewart Lockett, Christina Black, Aaron Harrington, </w:t>
      </w:r>
      <w:r w:rsidR="005B5B8A">
        <w:rPr>
          <w:rFonts w:ascii="Arial" w:hAnsi="Arial" w:cs="Arial"/>
          <w:color w:val="000000"/>
          <w:sz w:val="20"/>
          <w:szCs w:val="20"/>
        </w:rPr>
        <w:t xml:space="preserve">Ashton Vaughn, Rachel Campbell (proxy for Courtney Reeder) </w:t>
      </w:r>
      <w:r w:rsidR="00827492">
        <w:rPr>
          <w:rFonts w:ascii="Arial" w:hAnsi="Arial" w:cs="Arial"/>
          <w:color w:val="000000"/>
          <w:sz w:val="20"/>
          <w:szCs w:val="20"/>
        </w:rPr>
        <w:t>and Rene Petit</w:t>
      </w:r>
    </w:p>
    <w:p w:rsidR="00813167" w:rsidRPr="0029044D" w:rsidRDefault="00813167" w:rsidP="00813167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813167" w:rsidP="00E050BA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827492">
        <w:rPr>
          <w:rFonts w:ascii="Arial" w:hAnsi="Arial" w:cs="Arial"/>
          <w:color w:val="000000"/>
          <w:sz w:val="20"/>
          <w:szCs w:val="20"/>
        </w:rPr>
        <w:t xml:space="preserve">Kurt Keppler, Brian </w:t>
      </w:r>
      <w:proofErr w:type="spellStart"/>
      <w:r w:rsidR="00827492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827492">
        <w:rPr>
          <w:rFonts w:ascii="Arial" w:hAnsi="Arial" w:cs="Arial"/>
          <w:color w:val="000000"/>
          <w:sz w:val="20"/>
          <w:szCs w:val="20"/>
        </w:rPr>
        <w:t xml:space="preserve">, Heather Slagell, Carrie-Anne Slaton, Tyler Kearney, </w:t>
      </w:r>
      <w:r w:rsidR="005B5B8A">
        <w:rPr>
          <w:rFonts w:ascii="Arial" w:hAnsi="Arial" w:cs="Arial"/>
          <w:color w:val="000000"/>
          <w:sz w:val="20"/>
          <w:szCs w:val="20"/>
        </w:rPr>
        <w:t>David O’</w:t>
      </w:r>
      <w:r w:rsidR="00C03880">
        <w:rPr>
          <w:rFonts w:ascii="Arial" w:hAnsi="Arial" w:cs="Arial"/>
          <w:color w:val="000000"/>
          <w:sz w:val="20"/>
          <w:szCs w:val="20"/>
        </w:rPr>
        <w:t>Brien</w:t>
      </w:r>
      <w:r w:rsidR="00AE2C77">
        <w:rPr>
          <w:rFonts w:ascii="Arial" w:hAnsi="Arial" w:cs="Arial"/>
          <w:color w:val="000000"/>
          <w:sz w:val="20"/>
          <w:szCs w:val="20"/>
        </w:rPr>
        <w:t>,</w:t>
      </w:r>
      <w:r w:rsidR="00C03880">
        <w:rPr>
          <w:rFonts w:ascii="Arial" w:hAnsi="Arial" w:cs="Arial"/>
          <w:color w:val="000000"/>
          <w:sz w:val="20"/>
          <w:szCs w:val="20"/>
        </w:rPr>
        <w:t xml:space="preserve"> </w:t>
      </w:r>
      <w:r w:rsidR="00827492">
        <w:rPr>
          <w:rFonts w:ascii="Arial" w:hAnsi="Arial" w:cs="Arial"/>
          <w:color w:val="000000"/>
          <w:sz w:val="20"/>
          <w:szCs w:val="20"/>
        </w:rPr>
        <w:t>John Duplantis, Aimee Riggs and Amanda Marshall.</w:t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DE75C3" w:rsidRDefault="009B6070" w:rsidP="00DE75C3">
      <w:pPr>
        <w:pStyle w:val="NormalWeb"/>
        <w:spacing w:before="0" w:beforeAutospacing="0" w:after="0" w:afterAutospacing="0"/>
        <w:ind w:left="3600" w:hanging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827492">
        <w:rPr>
          <w:rFonts w:ascii="Arial" w:hAnsi="Arial" w:cs="Arial"/>
          <w:color w:val="000000"/>
          <w:sz w:val="20"/>
          <w:szCs w:val="20"/>
        </w:rPr>
        <w:t>October 24</w:t>
      </w:r>
      <w:r w:rsidR="00813167">
        <w:rPr>
          <w:rFonts w:ascii="Arial" w:hAnsi="Arial" w:cs="Arial"/>
          <w:color w:val="000000"/>
          <w:sz w:val="20"/>
          <w:szCs w:val="20"/>
        </w:rPr>
        <w:t>, 2018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1B2573" w:rsidRPr="0029044D" w:rsidRDefault="00827492" w:rsidP="00E050BA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Discipline Specific Proposal Rankings</w:t>
      </w:r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4644A0">
        <w:rPr>
          <w:rFonts w:ascii="Arial" w:hAnsi="Arial" w:cs="Arial"/>
          <w:color w:val="000000"/>
          <w:sz w:val="20"/>
          <w:szCs w:val="20"/>
        </w:rPr>
        <w:t>3:00</w:t>
      </w:r>
      <w:r>
        <w:rPr>
          <w:rFonts w:ascii="Arial" w:hAnsi="Arial" w:cs="Arial"/>
          <w:color w:val="000000"/>
          <w:sz w:val="20"/>
          <w:szCs w:val="20"/>
        </w:rPr>
        <w:t xml:space="preserve">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E050BA" w:rsidRDefault="00B73054" w:rsidP="0042709E">
      <w:pPr>
        <w:numPr>
          <w:ilvl w:val="0"/>
          <w:numId w:val="1"/>
        </w:numPr>
        <w:spacing w:after="240"/>
        <w:ind w:left="360" w:firstLine="0"/>
        <w:rPr>
          <w:rFonts w:ascii="Arial" w:hAnsi="Arial" w:cs="Arial"/>
          <w:b/>
          <w:sz w:val="20"/>
          <w:szCs w:val="20"/>
        </w:rPr>
      </w:pPr>
      <w:r w:rsidRPr="00E050BA">
        <w:rPr>
          <w:rFonts w:ascii="Arial" w:hAnsi="Arial" w:cs="Arial"/>
          <w:b/>
          <w:sz w:val="20"/>
          <w:szCs w:val="20"/>
        </w:rPr>
        <w:t>Old Business.</w:t>
      </w:r>
      <w:r w:rsidR="00177637" w:rsidRPr="00E050BA">
        <w:rPr>
          <w:rFonts w:ascii="Arial" w:hAnsi="Arial" w:cs="Arial"/>
          <w:b/>
          <w:sz w:val="20"/>
          <w:szCs w:val="20"/>
        </w:rPr>
        <w:t xml:space="preserve"> </w:t>
      </w:r>
    </w:p>
    <w:p w:rsidR="003C478F" w:rsidRDefault="004644A0" w:rsidP="00DE75C3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827492">
        <w:rPr>
          <w:rFonts w:ascii="Arial" w:hAnsi="Arial" w:cs="Arial"/>
          <w:b/>
          <w:bCs/>
          <w:color w:val="000000"/>
          <w:sz w:val="20"/>
          <w:szCs w:val="20"/>
        </w:rPr>
        <w:t>October</w:t>
      </w:r>
      <w:r w:rsidR="0012675F">
        <w:rPr>
          <w:rFonts w:ascii="Arial" w:hAnsi="Arial" w:cs="Arial"/>
          <w:b/>
          <w:bCs/>
          <w:color w:val="000000"/>
          <w:sz w:val="20"/>
          <w:szCs w:val="20"/>
        </w:rPr>
        <w:t xml:space="preserve"> 2</w:t>
      </w:r>
      <w:r w:rsidR="00827492"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12675F">
        <w:rPr>
          <w:rFonts w:ascii="Arial" w:hAnsi="Arial" w:cs="Arial"/>
          <w:b/>
          <w:bCs/>
          <w:color w:val="000000"/>
          <w:sz w:val="20"/>
          <w:szCs w:val="20"/>
        </w:rPr>
        <w:t>, 2018</w:t>
      </w:r>
      <w:r w:rsidR="00DE75C3" w:rsidRPr="00DE75C3"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A43004" w:rsidRDefault="004C7533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Jane Cassidy</w:t>
      </w:r>
      <w:r w:rsidR="00175B83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motioned to approve the minutes; </w:t>
      </w:r>
      <w:r>
        <w:rPr>
          <w:rFonts w:ascii="Arial" w:hAnsi="Arial" w:cs="Arial"/>
          <w:color w:val="000000"/>
          <w:sz w:val="20"/>
          <w:szCs w:val="20"/>
        </w:rPr>
        <w:t>Aaron Harrington</w:t>
      </w:r>
      <w:r w:rsidR="00DE75C3">
        <w:rPr>
          <w:rFonts w:ascii="Arial" w:hAnsi="Arial" w:cs="Arial"/>
          <w:color w:val="000000"/>
          <w:sz w:val="20"/>
          <w:szCs w:val="20"/>
        </w:rPr>
        <w:t xml:space="preserve"> seconded the motion.</w:t>
      </w:r>
      <w:r w:rsidR="00F06737">
        <w:rPr>
          <w:rFonts w:ascii="Arial" w:hAnsi="Arial" w:cs="Arial"/>
          <w:color w:val="000000"/>
          <w:sz w:val="20"/>
          <w:szCs w:val="20"/>
        </w:rPr>
        <w:t xml:space="preserve"> </w:t>
      </w:r>
      <w:r w:rsidR="00DE75C3">
        <w:rPr>
          <w:rFonts w:ascii="Arial" w:hAnsi="Arial" w:cs="Arial"/>
          <w:color w:val="000000"/>
          <w:sz w:val="20"/>
          <w:szCs w:val="20"/>
        </w:rPr>
        <w:t>The minutes were unanimously approved.</w:t>
      </w:r>
    </w:p>
    <w:p w:rsidR="00A43004" w:rsidRDefault="00A43004" w:rsidP="001909DD">
      <w:pPr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1909DD" w:rsidRDefault="00A43004" w:rsidP="001909DD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</w:r>
      <w:r w:rsidR="00DE75C3">
        <w:rPr>
          <w:rFonts w:ascii="Arial" w:hAnsi="Arial" w:cs="Arial"/>
          <w:b/>
          <w:bCs/>
          <w:color w:val="000000"/>
          <w:sz w:val="20"/>
          <w:szCs w:val="20"/>
        </w:rPr>
        <w:t>Discipline Specific Proposal Discussion</w:t>
      </w:r>
    </w:p>
    <w:p w:rsidR="000E4B22" w:rsidRDefault="000E4B22" w:rsidP="000E4B2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committee discussed the discipline specific proposals, beginning with the proposals receiving the highest ranking by committee members.</w:t>
      </w:r>
      <w:r w:rsidR="00F067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After discussing individual proposals, as well as the overall distribution of the funds, the following discipline specific proposals were approved</w:t>
      </w:r>
      <w:r w:rsidR="00420A22">
        <w:rPr>
          <w:rFonts w:ascii="Arial" w:hAnsi="Arial" w:cs="Arial"/>
          <w:sz w:val="20"/>
          <w:szCs w:val="20"/>
        </w:rPr>
        <w:t xml:space="preserve"> for funding</w:t>
      </w:r>
      <w:r>
        <w:rPr>
          <w:rFonts w:ascii="Arial" w:hAnsi="Arial" w:cs="Arial"/>
          <w:sz w:val="20"/>
          <w:szCs w:val="20"/>
        </w:rPr>
        <w:t>:</w:t>
      </w:r>
    </w:p>
    <w:p w:rsidR="00827492" w:rsidRDefault="00827492" w:rsidP="000E4B22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8980" w:type="dxa"/>
        <w:tblLook w:val="04A0" w:firstRow="1" w:lastRow="0" w:firstColumn="1" w:lastColumn="0" w:noHBand="0" w:noVBand="1"/>
        <w:tblCaption w:val="Approved STF Projects by deparment, name and amount"/>
      </w:tblPr>
      <w:tblGrid>
        <w:gridCol w:w="1550"/>
        <w:gridCol w:w="6440"/>
        <w:gridCol w:w="1123"/>
      </w:tblGrid>
      <w:tr w:rsidR="00827492" w:rsidTr="00E050BA">
        <w:trPr>
          <w:trHeight w:val="630"/>
          <w:tblHeader/>
        </w:trPr>
        <w:tc>
          <w:tcPr>
            <w:tcW w:w="1480" w:type="dxa"/>
            <w:noWrap/>
            <w:hideMark/>
          </w:tcPr>
          <w:p w:rsidR="00827492" w:rsidRDefault="008274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Department</w:t>
            </w:r>
          </w:p>
        </w:tc>
        <w:tc>
          <w:tcPr>
            <w:tcW w:w="6440" w:type="dxa"/>
            <w:noWrap/>
            <w:hideMark/>
          </w:tcPr>
          <w:p w:rsidR="00827492" w:rsidRDefault="008274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Project Description </w:t>
            </w:r>
            <w:bookmarkStart w:id="0" w:name="_GoBack"/>
            <w:bookmarkEnd w:id="0"/>
          </w:p>
        </w:tc>
        <w:tc>
          <w:tcPr>
            <w:tcW w:w="1060" w:type="dxa"/>
            <w:hideMark/>
          </w:tcPr>
          <w:p w:rsidR="00827492" w:rsidRDefault="0082749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Project Amount</w:t>
            </w:r>
          </w:p>
        </w:tc>
      </w:tr>
      <w:tr w:rsidR="00827492" w:rsidTr="00E050BA">
        <w:trPr>
          <w:trHeight w:val="300"/>
        </w:trPr>
        <w:tc>
          <w:tcPr>
            <w:tcW w:w="148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Experimental Statistics (Upgrading the EXST Labs)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$80,000</w:t>
            </w:r>
          </w:p>
        </w:tc>
      </w:tr>
      <w:tr w:rsidR="00827492" w:rsidTr="00E050BA">
        <w:trPr>
          <w:trHeight w:val="525"/>
        </w:trPr>
        <w:tc>
          <w:tcPr>
            <w:tcW w:w="148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Nutrition &amp; Food Sciences (Equipment for Hands on Training of Graduate and Un</w:t>
            </w:r>
            <w:r w:rsidR="004C7533"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z w:val="20"/>
                <w:szCs w:val="20"/>
              </w:rPr>
              <w:t>graduate Students)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$19,989</w:t>
            </w:r>
          </w:p>
        </w:tc>
      </w:tr>
      <w:tr w:rsidR="00827492" w:rsidTr="00E050BA">
        <w:trPr>
          <w:trHeight w:val="525"/>
        </w:trPr>
        <w:tc>
          <w:tcPr>
            <w:tcW w:w="148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Agriculture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Agricultural &amp; Extension Ed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(Developing Technical Skills in Agricultural Mechanics)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$23,000</w:t>
            </w:r>
          </w:p>
        </w:tc>
      </w:tr>
      <w:tr w:rsidR="00827492" w:rsidTr="00E050BA">
        <w:trPr>
          <w:trHeight w:val="300"/>
        </w:trPr>
        <w:tc>
          <w:tcPr>
            <w:tcW w:w="1480" w:type="dxa"/>
            <w:noWrap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&amp; Design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Interdepartmental (Navigate, Fabricate and Simulate)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$127,767</w:t>
            </w:r>
          </w:p>
        </w:tc>
      </w:tr>
      <w:tr w:rsidR="00827492" w:rsidTr="00E050BA">
        <w:trPr>
          <w:trHeight w:val="300"/>
        </w:trPr>
        <w:tc>
          <w:tcPr>
            <w:tcW w:w="1480" w:type="dxa"/>
            <w:noWrap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&amp; Design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of Art (Digital Imaging Studio)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$16,796</w:t>
            </w:r>
          </w:p>
        </w:tc>
      </w:tr>
      <w:tr w:rsidR="00827492" w:rsidTr="00E050BA">
        <w:trPr>
          <w:trHeight w:val="525"/>
        </w:trPr>
        <w:tc>
          <w:tcPr>
            <w:tcW w:w="148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Stephenson Department of Entrepreneurship &amp; Information Systems (Digital Competencies Roaming Lab)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$51,396</w:t>
            </w:r>
          </w:p>
        </w:tc>
      </w:tr>
      <w:tr w:rsidR="00827492" w:rsidTr="00E050BA">
        <w:trPr>
          <w:trHeight w:val="525"/>
        </w:trPr>
        <w:tc>
          <w:tcPr>
            <w:tcW w:w="148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Coast &amp; Environment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Oceanography &amp; Coastal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(Enhancing Student Education and Training in Carbonate Chemistry)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$32,350</w:t>
            </w:r>
          </w:p>
        </w:tc>
      </w:tr>
      <w:tr w:rsidR="00827492" w:rsidTr="00E050BA">
        <w:trPr>
          <w:trHeight w:val="300"/>
        </w:trPr>
        <w:tc>
          <w:tcPr>
            <w:tcW w:w="1480" w:type="dxa"/>
            <w:noWrap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CxC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(Communicating at the Frontier: Innovative Technology)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$69,925</w:t>
            </w:r>
          </w:p>
        </w:tc>
      </w:tr>
      <w:tr w:rsidR="00827492" w:rsidTr="00E050BA">
        <w:trPr>
          <w:trHeight w:val="525"/>
        </w:trPr>
        <w:tc>
          <w:tcPr>
            <w:tcW w:w="1480" w:type="dxa"/>
            <w:noWrap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Physics &amp; Astronomy (The Enhancement of the Teaching Laboratory Capabilities)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$46,982</w:t>
            </w:r>
          </w:p>
        </w:tc>
      </w:tr>
      <w:tr w:rsidR="00827492" w:rsidTr="00E050BA">
        <w:trPr>
          <w:trHeight w:val="525"/>
        </w:trPr>
        <w:tc>
          <w:tcPr>
            <w:tcW w:w="1480" w:type="dxa"/>
            <w:noWrap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Biological Sciences (Upgrading and Improving Life Sciences Annex A101 Lecture Hall)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$26,051</w:t>
            </w:r>
          </w:p>
        </w:tc>
      </w:tr>
      <w:tr w:rsidR="00827492" w:rsidTr="00E050BA">
        <w:trPr>
          <w:trHeight w:val="525"/>
        </w:trPr>
        <w:tc>
          <w:tcPr>
            <w:tcW w:w="1480" w:type="dxa"/>
            <w:noWrap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Chemistry (Modern Instrumentations and Equipment for Organic Chemistry Teaching Laboratories)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$199,404</w:t>
            </w:r>
          </w:p>
        </w:tc>
      </w:tr>
      <w:tr w:rsidR="00827492" w:rsidTr="00E050BA">
        <w:trPr>
          <w:trHeight w:val="300"/>
        </w:trPr>
        <w:tc>
          <w:tcPr>
            <w:tcW w:w="1480" w:type="dxa"/>
            <w:noWrap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6440" w:type="dxa"/>
            <w:hideMark/>
          </w:tcPr>
          <w:p w:rsidR="00827492" w:rsidRDefault="008274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Chemistry (Accessible Femtosecond Laser Technology)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$32,225</w:t>
            </w:r>
          </w:p>
        </w:tc>
      </w:tr>
      <w:tr w:rsidR="00827492" w:rsidTr="00E050BA">
        <w:trPr>
          <w:trHeight w:val="300"/>
        </w:trPr>
        <w:tc>
          <w:tcPr>
            <w:tcW w:w="1480" w:type="dxa"/>
            <w:noWrap/>
            <w:hideMark/>
          </w:tcPr>
          <w:p w:rsidR="00827492" w:rsidRDefault="008274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40" w:type="dxa"/>
            <w:noWrap/>
            <w:hideMark/>
          </w:tcPr>
          <w:p w:rsidR="00827492" w:rsidRDefault="0082749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60" w:type="dxa"/>
            <w:noWrap/>
            <w:hideMark/>
          </w:tcPr>
          <w:p w:rsidR="00827492" w:rsidRDefault="008274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$725,885</w:t>
            </w:r>
          </w:p>
        </w:tc>
      </w:tr>
    </w:tbl>
    <w:p w:rsidR="00827492" w:rsidRDefault="00827492" w:rsidP="000E4B22">
      <w:pPr>
        <w:pStyle w:val="ListParagraph"/>
        <w:rPr>
          <w:rFonts w:ascii="Arial" w:hAnsi="Arial" w:cs="Arial"/>
          <w:sz w:val="20"/>
          <w:szCs w:val="20"/>
        </w:rPr>
      </w:pPr>
    </w:p>
    <w:p w:rsidR="00CE2062" w:rsidRDefault="00CE2062" w:rsidP="000E4B22">
      <w:pPr>
        <w:pStyle w:val="ListParagraph"/>
        <w:rPr>
          <w:rFonts w:ascii="Arial" w:hAnsi="Arial" w:cs="Arial"/>
          <w:sz w:val="20"/>
          <w:szCs w:val="20"/>
        </w:rPr>
      </w:pPr>
    </w:p>
    <w:p w:rsidR="00253E8A" w:rsidRDefault="00253E8A" w:rsidP="002A36FA">
      <w:pPr>
        <w:ind w:left="720"/>
        <w:rPr>
          <w:rFonts w:ascii="Arial" w:hAnsi="Arial" w:cs="Arial"/>
          <w:sz w:val="20"/>
          <w:szCs w:val="20"/>
        </w:rPr>
      </w:pPr>
    </w:p>
    <w:p w:rsidR="002A36FA" w:rsidRPr="008D1F9D" w:rsidRDefault="002A36FA" w:rsidP="002A36F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total of these </w:t>
      </w:r>
      <w:r w:rsidR="00827492">
        <w:rPr>
          <w:rFonts w:ascii="Arial" w:hAnsi="Arial" w:cs="Arial"/>
          <w:sz w:val="20"/>
          <w:szCs w:val="20"/>
        </w:rPr>
        <w:t>12</w:t>
      </w:r>
      <w:r w:rsidR="00F06737">
        <w:rPr>
          <w:rFonts w:ascii="Arial" w:hAnsi="Arial" w:cs="Arial"/>
          <w:sz w:val="20"/>
          <w:szCs w:val="20"/>
        </w:rPr>
        <w:t xml:space="preserve"> </w:t>
      </w:r>
      <w:r w:rsidR="008B6FE8">
        <w:rPr>
          <w:rFonts w:ascii="Arial" w:hAnsi="Arial" w:cs="Arial"/>
          <w:sz w:val="20"/>
          <w:szCs w:val="20"/>
        </w:rPr>
        <w:t xml:space="preserve">projects </w:t>
      </w:r>
      <w:r w:rsidR="00827492">
        <w:rPr>
          <w:rFonts w:ascii="Arial" w:hAnsi="Arial" w:cs="Arial"/>
          <w:sz w:val="20"/>
          <w:szCs w:val="20"/>
        </w:rPr>
        <w:t>is $725,885</w:t>
      </w:r>
      <w:r>
        <w:rPr>
          <w:rFonts w:ascii="Arial" w:hAnsi="Arial" w:cs="Arial"/>
          <w:sz w:val="20"/>
          <w:szCs w:val="20"/>
        </w:rPr>
        <w:t>,</w:t>
      </w:r>
      <w:r w:rsidR="00152CF8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 xml:space="preserve"> the allotted discipline specific budget of $</w:t>
      </w:r>
      <w:r w:rsidR="00827492">
        <w:rPr>
          <w:rFonts w:ascii="Arial" w:hAnsi="Arial" w:cs="Arial"/>
          <w:sz w:val="20"/>
          <w:szCs w:val="20"/>
        </w:rPr>
        <w:t>1,000,000</w:t>
      </w:r>
      <w:r>
        <w:rPr>
          <w:rFonts w:ascii="Arial" w:hAnsi="Arial" w:cs="Arial"/>
          <w:sz w:val="20"/>
          <w:szCs w:val="20"/>
        </w:rPr>
        <w:t>.</w:t>
      </w:r>
    </w:p>
    <w:p w:rsidR="002A36FA" w:rsidRDefault="002A36FA" w:rsidP="002A36FA">
      <w:pPr>
        <w:pStyle w:val="ListParagraph"/>
        <w:rPr>
          <w:rFonts w:ascii="Arial" w:hAnsi="Arial" w:cs="Arial"/>
          <w:sz w:val="20"/>
          <w:szCs w:val="20"/>
        </w:rPr>
      </w:pPr>
    </w:p>
    <w:p w:rsidR="002A36FA" w:rsidRDefault="004C7533" w:rsidP="002A36F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Ashton Vaughn </w:t>
      </w:r>
      <w:r w:rsidR="002A36FA">
        <w:rPr>
          <w:rFonts w:ascii="Arial" w:hAnsi="Arial" w:cs="Arial"/>
          <w:sz w:val="20"/>
          <w:szCs w:val="20"/>
        </w:rPr>
        <w:t xml:space="preserve">motioned to approve these proposals as discussed above; </w:t>
      </w:r>
      <w:r>
        <w:rPr>
          <w:rFonts w:ascii="Arial" w:hAnsi="Arial" w:cs="Arial"/>
          <w:sz w:val="20"/>
          <w:szCs w:val="20"/>
        </w:rPr>
        <w:t>Christina Black</w:t>
      </w:r>
      <w:r w:rsidR="002A36FA">
        <w:rPr>
          <w:rFonts w:ascii="Arial" w:hAnsi="Arial" w:cs="Arial"/>
          <w:sz w:val="20"/>
          <w:szCs w:val="20"/>
        </w:rPr>
        <w:t xml:space="preserve"> seconded the motion. The motion was unanimously approved.</w:t>
      </w:r>
    </w:p>
    <w:p w:rsidR="000248C9" w:rsidRDefault="000248C9" w:rsidP="000248C9">
      <w:pPr>
        <w:ind w:left="360"/>
        <w:rPr>
          <w:rFonts w:ascii="Arial" w:hAnsi="Arial" w:cs="Arial"/>
          <w:b/>
          <w:sz w:val="20"/>
          <w:szCs w:val="20"/>
        </w:rPr>
      </w:pPr>
    </w:p>
    <w:p w:rsidR="00420A22" w:rsidRDefault="00420A22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9A6B33" w:rsidRPr="009A6B33" w:rsidRDefault="004C7533" w:rsidP="00E050BA">
      <w:pPr>
        <w:pStyle w:val="ListParagraph"/>
        <w:spacing w:before="240"/>
        <w:ind w:left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TBD</w:t>
      </w:r>
    </w:p>
    <w:p w:rsidR="001909DD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Default="0012675F" w:rsidP="00B011C6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Aaron Harrington</w:t>
      </w:r>
      <w:r w:rsidR="00A11374">
        <w:rPr>
          <w:rFonts w:ascii="Arial" w:hAnsi="Arial" w:cs="Arial"/>
          <w:sz w:val="20"/>
          <w:szCs w:val="20"/>
        </w:rPr>
        <w:t xml:space="preserve"> </w:t>
      </w:r>
      <w:r w:rsidR="006214FF" w:rsidRPr="00EA5931">
        <w:rPr>
          <w:rFonts w:ascii="Arial" w:hAnsi="Arial" w:cs="Arial"/>
          <w:sz w:val="20"/>
          <w:szCs w:val="20"/>
        </w:rPr>
        <w:t>motioned to adjourn;</w:t>
      </w:r>
      <w:r>
        <w:rPr>
          <w:rFonts w:ascii="Arial" w:hAnsi="Arial" w:cs="Arial"/>
          <w:sz w:val="20"/>
          <w:szCs w:val="20"/>
        </w:rPr>
        <w:t xml:space="preserve"> </w:t>
      </w:r>
      <w:r w:rsidR="004C7533">
        <w:rPr>
          <w:rFonts w:ascii="Arial" w:hAnsi="Arial" w:cs="Arial"/>
          <w:sz w:val="20"/>
          <w:szCs w:val="20"/>
        </w:rPr>
        <w:t>Tommy Smith</w:t>
      </w:r>
      <w:r w:rsidR="006214FF" w:rsidRPr="00EA5931">
        <w:rPr>
          <w:rFonts w:ascii="Arial" w:hAnsi="Arial" w:cs="Arial"/>
          <w:sz w:val="20"/>
          <w:szCs w:val="20"/>
        </w:rPr>
        <w:t xml:space="preserve"> seconded the motion.  The motion was unanimously </w:t>
      </w:r>
      <w:r w:rsidR="006214FF">
        <w:rPr>
          <w:rFonts w:ascii="Arial" w:hAnsi="Arial" w:cs="Arial"/>
          <w:sz w:val="20"/>
          <w:szCs w:val="20"/>
        </w:rPr>
        <w:t>a</w:t>
      </w:r>
      <w:r w:rsidR="006214FF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6214FF">
        <w:rPr>
          <w:rFonts w:ascii="Arial" w:hAnsi="Arial" w:cs="Arial"/>
          <w:sz w:val="20"/>
          <w:szCs w:val="20"/>
        </w:rPr>
        <w:t xml:space="preserve">adjourned at approximately </w:t>
      </w:r>
      <w:r w:rsidR="0015195F">
        <w:rPr>
          <w:rFonts w:ascii="Arial" w:hAnsi="Arial" w:cs="Arial"/>
          <w:sz w:val="20"/>
          <w:szCs w:val="20"/>
        </w:rPr>
        <w:t>4:4</w:t>
      </w:r>
      <w:r>
        <w:rPr>
          <w:rFonts w:ascii="Arial" w:hAnsi="Arial" w:cs="Arial"/>
          <w:sz w:val="20"/>
          <w:szCs w:val="20"/>
        </w:rPr>
        <w:t>0</w:t>
      </w:r>
      <w:r w:rsidR="006214FF">
        <w:rPr>
          <w:rFonts w:ascii="Arial" w:hAnsi="Arial" w:cs="Arial"/>
          <w:sz w:val="20"/>
          <w:szCs w:val="20"/>
        </w:rPr>
        <w:t xml:space="preserve"> P.M.</w:t>
      </w: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D07E79">
        <w:rPr>
          <w:rFonts w:ascii="Arial" w:hAnsi="Arial" w:cs="Arial"/>
          <w:sz w:val="16"/>
          <w:szCs w:val="20"/>
        </w:rPr>
        <w:t>Amanda</w:t>
      </w:r>
      <w:r w:rsidR="006A76D4" w:rsidRPr="00E767E9">
        <w:rPr>
          <w:rFonts w:ascii="Arial" w:hAnsi="Arial" w:cs="Arial"/>
          <w:sz w:val="16"/>
          <w:szCs w:val="20"/>
        </w:rPr>
        <w:t xml:space="preserve"> </w:t>
      </w:r>
      <w:r w:rsidR="00D07E79">
        <w:rPr>
          <w:rFonts w:ascii="Arial" w:hAnsi="Arial" w:cs="Arial"/>
          <w:sz w:val="16"/>
          <w:szCs w:val="20"/>
        </w:rPr>
        <w:t>Marshall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>Student Representatives:</w:t>
      </w:r>
      <w:r w:rsidR="00F06737">
        <w:rPr>
          <w:rFonts w:ascii="Arial" w:hAnsi="Arial" w:cs="Arial"/>
          <w:sz w:val="16"/>
          <w:szCs w:val="20"/>
        </w:rPr>
        <w:t xml:space="preserve"> </w:t>
      </w:r>
      <w:r w:rsidRPr="00E767E9">
        <w:rPr>
          <w:rFonts w:ascii="Arial" w:hAnsi="Arial" w:cs="Arial"/>
          <w:sz w:val="16"/>
          <w:szCs w:val="20"/>
        </w:rPr>
        <w:t xml:space="preserve">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F56A82" w:rsidRDefault="00F56A82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F56A82" w:rsidRPr="00E02C2F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Respectfully submitted, Jane Cassidy, Chairman</w:t>
      </w:r>
    </w:p>
    <w:p w:rsidR="00F56A82" w:rsidRPr="00F56A82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Minutes recorded by </w:t>
      </w:r>
      <w:r w:rsidR="00EA51C6">
        <w:rPr>
          <w:rFonts w:ascii="Arial" w:hAnsi="Arial" w:cs="Arial"/>
          <w:i/>
          <w:sz w:val="14"/>
          <w:szCs w:val="16"/>
        </w:rPr>
        <w:t>Amanda Marshall</w:t>
      </w:r>
    </w:p>
    <w:sectPr w:rsidR="00F56A82" w:rsidRPr="00F56A82" w:rsidSect="00F56A82">
      <w:headerReference w:type="default" r:id="rId8"/>
      <w:foot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 w:rsidP="00F56A82">
        <w:pPr>
          <w:pStyle w:val="Footer"/>
          <w:tabs>
            <w:tab w:val="left" w:pos="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827492">
      <w:rPr>
        <w:rFonts w:ascii="Arial" w:hAnsi="Arial" w:cs="Arial"/>
        <w:sz w:val="18"/>
        <w:szCs w:val="18"/>
      </w:rPr>
      <w:t>November</w:t>
    </w:r>
    <w:r w:rsidR="00813167">
      <w:rPr>
        <w:rFonts w:ascii="Arial" w:hAnsi="Arial" w:cs="Arial"/>
        <w:sz w:val="18"/>
        <w:szCs w:val="18"/>
      </w:rPr>
      <w:t xml:space="preserve"> 14</w:t>
    </w:r>
    <w:r>
      <w:rPr>
        <w:rFonts w:ascii="Arial" w:hAnsi="Arial" w:cs="Arial"/>
        <w:sz w:val="18"/>
        <w:szCs w:val="18"/>
      </w:rPr>
      <w:t>,</w:t>
    </w:r>
    <w:r w:rsidRPr="0022463D">
      <w:rPr>
        <w:rFonts w:ascii="Arial" w:hAnsi="Arial" w:cs="Arial"/>
        <w:sz w:val="18"/>
        <w:szCs w:val="18"/>
      </w:rPr>
      <w:t xml:space="preserve"> </w:t>
    </w:r>
    <w:r w:rsidR="00813167">
      <w:rPr>
        <w:rFonts w:ascii="Arial" w:hAnsi="Arial" w:cs="Arial"/>
        <w:sz w:val="18"/>
        <w:szCs w:val="18"/>
      </w:rPr>
      <w:t>2018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392E"/>
    <w:rsid w:val="00024648"/>
    <w:rsid w:val="000247A4"/>
    <w:rsid w:val="000248C9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185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4B22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2675F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510D"/>
    <w:rsid w:val="0014718E"/>
    <w:rsid w:val="00147A95"/>
    <w:rsid w:val="0015040A"/>
    <w:rsid w:val="0015195F"/>
    <w:rsid w:val="00151F2D"/>
    <w:rsid w:val="00152CF8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B83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09DD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1D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3E8A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36FA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5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3AB1"/>
    <w:rsid w:val="002F4EB8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0A22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44A0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A74A7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533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507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4F0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5B8A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1ADC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4FF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167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492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B6FE8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054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6B33"/>
    <w:rsid w:val="009A7D7D"/>
    <w:rsid w:val="009A7E72"/>
    <w:rsid w:val="009B2D25"/>
    <w:rsid w:val="009B387F"/>
    <w:rsid w:val="009B553D"/>
    <w:rsid w:val="009B6070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374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A6891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C77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23D3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276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3880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2062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07E79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2F28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2337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5C3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597E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0BA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1C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06737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1EDE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660D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A82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7171508E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  <w:style w:type="table" w:styleId="TableGridLight">
    <w:name w:val="Grid Table Light"/>
    <w:basedOn w:val="TableNormal"/>
    <w:uiPriority w:val="40"/>
    <w:rsid w:val="00E050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56874-5E5E-4942-A8FE-AE4DA530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438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8</cp:revision>
  <cp:lastPrinted>2015-11-17T21:39:00Z</cp:lastPrinted>
  <dcterms:created xsi:type="dcterms:W3CDTF">2018-11-19T20:02:00Z</dcterms:created>
  <dcterms:modified xsi:type="dcterms:W3CDTF">2019-10-09T20:39:00Z</dcterms:modified>
</cp:coreProperties>
</file>